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16" w:rsidRDefault="00C5251E" w:rsidP="00C5251E">
      <w:pPr>
        <w:pStyle w:val="NoSpacing"/>
        <w:jc w:val="center"/>
        <w:rPr>
          <w:b/>
          <w:sz w:val="28"/>
          <w:szCs w:val="28"/>
        </w:rPr>
      </w:pPr>
      <w:r w:rsidRPr="00C5251E">
        <w:rPr>
          <w:b/>
          <w:sz w:val="28"/>
          <w:szCs w:val="28"/>
        </w:rPr>
        <w:t xml:space="preserve">General Education Assessment Plan </w:t>
      </w:r>
    </w:p>
    <w:p w:rsidR="00C5251E" w:rsidRDefault="00C5251E" w:rsidP="00C5251E">
      <w:pPr>
        <w:pStyle w:val="NoSpacing"/>
        <w:jc w:val="center"/>
        <w:rPr>
          <w:b/>
          <w:sz w:val="28"/>
          <w:szCs w:val="28"/>
        </w:rPr>
      </w:pPr>
      <w:r w:rsidRPr="00C5251E">
        <w:rPr>
          <w:b/>
          <w:sz w:val="28"/>
          <w:szCs w:val="28"/>
        </w:rPr>
        <w:t>October 2017</w:t>
      </w:r>
    </w:p>
    <w:p w:rsidR="00C5251E" w:rsidRDefault="00C5251E" w:rsidP="00C5251E">
      <w:pPr>
        <w:pStyle w:val="NoSpacing"/>
        <w:jc w:val="center"/>
        <w:rPr>
          <w:b/>
          <w:sz w:val="28"/>
          <w:szCs w:val="28"/>
        </w:rPr>
      </w:pPr>
      <w:r>
        <w:rPr>
          <w:b/>
          <w:sz w:val="28"/>
          <w:szCs w:val="28"/>
        </w:rPr>
        <w:t>D. Kent Johnson, Director of Assessment</w:t>
      </w:r>
    </w:p>
    <w:p w:rsidR="00C5251E" w:rsidRDefault="00C5251E" w:rsidP="00C5251E">
      <w:pPr>
        <w:pStyle w:val="NoSpacing"/>
        <w:jc w:val="center"/>
        <w:rPr>
          <w:b/>
          <w:sz w:val="28"/>
          <w:szCs w:val="28"/>
        </w:rPr>
      </w:pPr>
    </w:p>
    <w:p w:rsidR="00C5251E" w:rsidRPr="00351B6D" w:rsidRDefault="00C5251E" w:rsidP="00C5251E">
      <w:pPr>
        <w:rPr>
          <w:b/>
        </w:rPr>
      </w:pPr>
      <w:r w:rsidRPr="00351B6D">
        <w:rPr>
          <w:b/>
        </w:rPr>
        <w:t>Background:</w:t>
      </w:r>
    </w:p>
    <w:p w:rsidR="00C5251E" w:rsidRDefault="00C5251E" w:rsidP="00C5251E">
      <w:r>
        <w:t>The current assessment strategy for general education requires all general education faculty to submit an annual report at the section level.  Faculty choose one</w:t>
      </w:r>
      <w:r w:rsidR="002D4454">
        <w:t xml:space="preserve"> or more</w:t>
      </w:r>
      <w:r>
        <w:t xml:space="preserve"> of the stated state-wide outcomes to assess.  This approach creates several challenges</w:t>
      </w:r>
      <w:r w:rsidR="000C3771">
        <w:t xml:space="preserve"> for assuring students achieve the state mandated student learning outcomes</w:t>
      </w:r>
      <w:r>
        <w:t xml:space="preserve"> including:</w:t>
      </w:r>
    </w:p>
    <w:p w:rsidR="00C5251E" w:rsidRDefault="00C5251E" w:rsidP="00C5251E">
      <w:pPr>
        <w:pStyle w:val="ListParagraph"/>
        <w:numPr>
          <w:ilvl w:val="0"/>
          <w:numId w:val="1"/>
        </w:numPr>
      </w:pPr>
      <w:r>
        <w:t>There is no assurance that all outcomes are assessed</w:t>
      </w:r>
      <w:r w:rsidR="002D4454">
        <w:t>.</w:t>
      </w:r>
    </w:p>
    <w:p w:rsidR="00C5251E" w:rsidRDefault="00C5251E" w:rsidP="00C5251E">
      <w:pPr>
        <w:pStyle w:val="ListParagraph"/>
        <w:numPr>
          <w:ilvl w:val="0"/>
          <w:numId w:val="1"/>
        </w:numPr>
      </w:pPr>
      <w:r>
        <w:t>The assessment at the course level provides no confidence that there is consensus on the level of learning expected of students relative to the student learning outcome</w:t>
      </w:r>
      <w:r w:rsidR="002D4454">
        <w:t>.</w:t>
      </w:r>
    </w:p>
    <w:p w:rsidR="00C5251E" w:rsidRDefault="00C5251E" w:rsidP="00C5251E">
      <w:pPr>
        <w:pStyle w:val="ListParagraph"/>
        <w:numPr>
          <w:ilvl w:val="0"/>
          <w:numId w:val="1"/>
        </w:numPr>
      </w:pPr>
      <w:r>
        <w:t>The strategy provides little evidence of the effectiveness of the program in helping students achieve the outcomes expected of them based on the statewide agreement</w:t>
      </w:r>
      <w:r w:rsidR="002D4454">
        <w:t>.</w:t>
      </w:r>
    </w:p>
    <w:p w:rsidR="00351B6D" w:rsidRDefault="00C5251E" w:rsidP="00C5251E">
      <w:r>
        <w:t xml:space="preserve">The assessment strategy, in effect, </w:t>
      </w:r>
      <w:r w:rsidR="000C3771">
        <w:t xml:space="preserve">mirrors </w:t>
      </w:r>
      <w:r>
        <w:t xml:space="preserve">the </w:t>
      </w:r>
      <w:r w:rsidR="000C3771">
        <w:t xml:space="preserve">lack of curricular </w:t>
      </w:r>
      <w:r>
        <w:t>coherence of the general education program</w:t>
      </w:r>
      <w:r w:rsidR="000C3771">
        <w:t>.</w:t>
      </w:r>
      <w:r w:rsidR="006A6518">
        <w:t xml:space="preserve"> Presently, the general education program operates as a set of distributed requirements.</w:t>
      </w:r>
      <w:r w:rsidR="000C3771">
        <w:t xml:space="preserve">  </w:t>
      </w:r>
      <w:r w:rsidR="00351B6D">
        <w:t>The change in assessment strategy</w:t>
      </w:r>
      <w:r w:rsidR="006A6518">
        <w:t xml:space="preserve"> is designed to</w:t>
      </w:r>
      <w:r w:rsidR="00351B6D">
        <w:t xml:space="preserve"> leverage an integrated approach to teaching, learning, and assessment to support and improve student learning.  Closely related, the chang</w:t>
      </w:r>
      <w:r w:rsidR="006B23D2">
        <w:t xml:space="preserve">e in assessment </w:t>
      </w:r>
      <w:r w:rsidR="006A6518">
        <w:t>strategy provides</w:t>
      </w:r>
      <w:r w:rsidR="006B23D2">
        <w:t xml:space="preserve"> a foundation</w:t>
      </w:r>
      <w:r w:rsidR="00351B6D">
        <w:t xml:space="preserve"> that supports using assessment findings to make programmatic improvements to the general education program. </w:t>
      </w:r>
      <w:r w:rsidR="006A6518">
        <w:t xml:space="preserve">Finally, this proposal recommends structural changes to general education focused on ensuring students achieve higher order cognitive outcomes reflected in some of the general education SLOs, improving coherence of the program and assessing how and to what extent students achieve general education outcomes. </w:t>
      </w:r>
      <w:r w:rsidR="00351B6D">
        <w:t xml:space="preserve"> </w:t>
      </w:r>
    </w:p>
    <w:p w:rsidR="00351B6D" w:rsidRDefault="00351B6D" w:rsidP="00C5251E">
      <w:pPr>
        <w:rPr>
          <w:b/>
        </w:rPr>
      </w:pPr>
      <w:r>
        <w:rPr>
          <w:b/>
        </w:rPr>
        <w:t>Overview of Recommended Changes:</w:t>
      </w:r>
    </w:p>
    <w:p w:rsidR="00351B6D" w:rsidRDefault="00AF7E16" w:rsidP="00C5251E">
      <w:r>
        <w:t>Four changes are recommended for delivering and assessing</w:t>
      </w:r>
      <w:r w:rsidR="002D4454">
        <w:t xml:space="preserve"> the</w:t>
      </w:r>
      <w:r>
        <w:t xml:space="preserve"> general education</w:t>
      </w:r>
      <w:r w:rsidR="002D4454">
        <w:t xml:space="preserve"> program</w:t>
      </w:r>
      <w:r>
        <w:t xml:space="preserve"> at IPFW:</w:t>
      </w:r>
    </w:p>
    <w:p w:rsidR="00AF7E16" w:rsidRDefault="00AF7E16" w:rsidP="00AF7E16">
      <w:pPr>
        <w:pStyle w:val="ListParagraph"/>
        <w:numPr>
          <w:ilvl w:val="0"/>
          <w:numId w:val="2"/>
        </w:numPr>
      </w:pPr>
      <w:r>
        <w:t xml:space="preserve">General </w:t>
      </w:r>
      <w:r w:rsidR="005F61C4">
        <w:t>e</w:t>
      </w:r>
      <w:r>
        <w:t xml:space="preserve">ducation courses are required to assess all the outcomes </w:t>
      </w:r>
      <w:r w:rsidR="002D4454">
        <w:t>assigned for the course.</w:t>
      </w:r>
      <w:r w:rsidR="009C6009">
        <w:t xml:space="preserve"> The general education subcommittee will determine which outcomes should be assessed in the foundational intellectual skills domain and the ways of knowing domain and which outcomes should be assessed in the interdisciplinary and/or capstone category of the general education program</w:t>
      </w:r>
      <w:r w:rsidR="009C6009">
        <w:rPr>
          <w:rStyle w:val="FootnoteReference"/>
        </w:rPr>
        <w:footnoteReference w:id="1"/>
      </w:r>
      <w:r w:rsidR="009C6009">
        <w:t xml:space="preserve">. </w:t>
      </w:r>
    </w:p>
    <w:p w:rsidR="00AF7E16" w:rsidRDefault="006A6518" w:rsidP="00AF7E16">
      <w:pPr>
        <w:pStyle w:val="ListParagraph"/>
        <w:numPr>
          <w:ilvl w:val="0"/>
          <w:numId w:val="2"/>
        </w:numPr>
      </w:pPr>
      <w:r>
        <w:t>Courses approved in the general education program</w:t>
      </w:r>
      <w:r w:rsidR="00AF7E16">
        <w:t xml:space="preserve"> meet the requirements for a single general education category.</w:t>
      </w:r>
    </w:p>
    <w:p w:rsidR="00AF7E16" w:rsidRDefault="00AF7E16" w:rsidP="00AF7E16">
      <w:pPr>
        <w:pStyle w:val="ListParagraph"/>
        <w:numPr>
          <w:ilvl w:val="0"/>
          <w:numId w:val="2"/>
        </w:numPr>
      </w:pPr>
      <w:r>
        <w:t>Assessment of all outcomes in each general education category is performed in a three year (academic year) cycle.  A summary report of the assessment is due to the General Education Subcommittee in the fall semester immediately following the last academic year in the cycle.</w:t>
      </w:r>
    </w:p>
    <w:p w:rsidR="005F61C4" w:rsidRDefault="005F61C4" w:rsidP="005F61C4">
      <w:pPr>
        <w:pStyle w:val="ListParagraph"/>
        <w:numPr>
          <w:ilvl w:val="0"/>
          <w:numId w:val="2"/>
        </w:numPr>
      </w:pPr>
      <w:r>
        <w:t xml:space="preserve">All general education outcomes are assessed using </w:t>
      </w:r>
      <w:r w:rsidR="006A6518">
        <w:t xml:space="preserve">signature assignments and </w:t>
      </w:r>
      <w:r>
        <w:t>common rubrics.  Assessment training is provided to establish interrater reliability.  In addition to the embedded assessment of student work within the class, samples of student work from each section are gathered and reviewed by a team of trained faculty evaluators.</w:t>
      </w:r>
    </w:p>
    <w:p w:rsidR="00C810A9" w:rsidRPr="00C810A9" w:rsidRDefault="00C810A9" w:rsidP="00C810A9">
      <w:pPr>
        <w:rPr>
          <w:b/>
        </w:rPr>
      </w:pPr>
      <w:r w:rsidRPr="00C810A9">
        <w:rPr>
          <w:b/>
        </w:rPr>
        <w:t>Standardizing Course Level Assessment through a Course Review Process</w:t>
      </w:r>
    </w:p>
    <w:p w:rsidR="00C810A9" w:rsidRDefault="00C810A9" w:rsidP="00C810A9">
      <w:r>
        <w:t>The purpose of course level assessment is to examine how and/or to what extent planned learning experiences in a course are contributing to student learning relative to stated outcomes.  As it relates to</w:t>
      </w:r>
      <w:r w:rsidR="00E40D03">
        <w:t xml:space="preserve"> general education at IPFW, </w:t>
      </w:r>
      <w:r>
        <w:t xml:space="preserve">course level assessment measures student achievement of the specific general education outcomes that were mapped to a specific general education course.  </w:t>
      </w:r>
      <w:r w:rsidR="00552DE8">
        <w:t>F</w:t>
      </w:r>
      <w:r>
        <w:t xml:space="preserve">aculty members teaching courses responsible for meeting the particular outcome in general education courses </w:t>
      </w:r>
      <w:r w:rsidR="00DC67BA">
        <w:t>will assess all assigned outcomes for their course</w:t>
      </w:r>
      <w:r w:rsidR="00C633EF">
        <w:t xml:space="preserve"> over a three year cycle.  Each year, faculty complete an annual summary report (Appendix A) of assessment activity and submit the report to the Assessment Office.</w:t>
      </w:r>
      <w:r>
        <w:t xml:space="preserve">  </w:t>
      </w:r>
    </w:p>
    <w:p w:rsidR="005F61C4" w:rsidRPr="00E10DC7" w:rsidRDefault="005F61C4" w:rsidP="005F61C4">
      <w:r>
        <w:rPr>
          <w:b/>
        </w:rPr>
        <w:t xml:space="preserve">General Education </w:t>
      </w:r>
      <w:r w:rsidR="009B478C">
        <w:rPr>
          <w:b/>
        </w:rPr>
        <w:t xml:space="preserve">Proposed </w:t>
      </w:r>
      <w:r>
        <w:rPr>
          <w:b/>
        </w:rPr>
        <w:t>SLO Assessment Cycle:</w:t>
      </w:r>
    </w:p>
    <w:p w:rsidR="00E40D03" w:rsidRDefault="00E40D03" w:rsidP="00E40D03">
      <w:r>
        <w:t>A</w:t>
      </w:r>
      <w:r w:rsidR="005F61C4">
        <w:t xml:space="preserve">ssessment reporting will be on a three year cycle. </w:t>
      </w:r>
      <w:r>
        <w:t xml:space="preserve">At the end of the third year, a summary report for the course will be submitted to the general education subcommittee for review.  To facilitate this assessment and to create a programmatic assessment of general education, all outcomes assigned to a specific course will be assessed in a three year cycle and a report submitted to the general education subcommittee at the end of the three year cycle for review. </w:t>
      </w:r>
    </w:p>
    <w:p w:rsidR="008214D5" w:rsidRDefault="008214D5" w:rsidP="005F61C4">
      <w:r>
        <w:t>The proposed assessment reporting cycle is presented below:</w:t>
      </w:r>
    </w:p>
    <w:tbl>
      <w:tblPr>
        <w:tblStyle w:val="TableGrid"/>
        <w:tblW w:w="0" w:type="auto"/>
        <w:tblLook w:val="04A0" w:firstRow="1" w:lastRow="0" w:firstColumn="1" w:lastColumn="0" w:noHBand="0" w:noVBand="1"/>
      </w:tblPr>
      <w:tblGrid>
        <w:gridCol w:w="4675"/>
        <w:gridCol w:w="4675"/>
      </w:tblGrid>
      <w:tr w:rsidR="008214D5" w:rsidTr="008214D5">
        <w:tc>
          <w:tcPr>
            <w:tcW w:w="4675" w:type="dxa"/>
          </w:tcPr>
          <w:p w:rsidR="008214D5" w:rsidRDefault="008214D5" w:rsidP="005F61C4">
            <w:r>
              <w:t>Reporting Year</w:t>
            </w:r>
          </w:p>
        </w:tc>
        <w:tc>
          <w:tcPr>
            <w:tcW w:w="4675" w:type="dxa"/>
          </w:tcPr>
          <w:p w:rsidR="008214D5" w:rsidRDefault="008214D5" w:rsidP="005F61C4">
            <w:r>
              <w:t>Outcomes Assessed</w:t>
            </w:r>
          </w:p>
        </w:tc>
      </w:tr>
      <w:tr w:rsidR="008214D5" w:rsidTr="008214D5">
        <w:tc>
          <w:tcPr>
            <w:tcW w:w="4675" w:type="dxa"/>
          </w:tcPr>
          <w:p w:rsidR="008214D5" w:rsidRDefault="008214D5" w:rsidP="005F61C4"/>
          <w:p w:rsidR="008214D5" w:rsidRDefault="008214D5" w:rsidP="005F61C4">
            <w:r>
              <w:t>1</w:t>
            </w:r>
          </w:p>
        </w:tc>
        <w:tc>
          <w:tcPr>
            <w:tcW w:w="4675" w:type="dxa"/>
          </w:tcPr>
          <w:p w:rsidR="008214D5" w:rsidRDefault="008214D5" w:rsidP="005F61C4">
            <w:r>
              <w:t>Written Communication</w:t>
            </w:r>
          </w:p>
          <w:p w:rsidR="008214D5" w:rsidRDefault="008214D5" w:rsidP="005F61C4">
            <w:r>
              <w:t>Speaking and Listening</w:t>
            </w:r>
          </w:p>
          <w:p w:rsidR="008214D5" w:rsidRDefault="008214D5" w:rsidP="005F61C4">
            <w:r>
              <w:t>Quantitative Reasoning</w:t>
            </w:r>
          </w:p>
        </w:tc>
      </w:tr>
      <w:tr w:rsidR="008214D5" w:rsidTr="008214D5">
        <w:tc>
          <w:tcPr>
            <w:tcW w:w="4675" w:type="dxa"/>
          </w:tcPr>
          <w:p w:rsidR="008214D5" w:rsidRDefault="008214D5" w:rsidP="005F61C4"/>
          <w:p w:rsidR="008214D5" w:rsidRDefault="008214D5" w:rsidP="005F61C4">
            <w:r>
              <w:t>2</w:t>
            </w:r>
          </w:p>
        </w:tc>
        <w:tc>
          <w:tcPr>
            <w:tcW w:w="4675" w:type="dxa"/>
          </w:tcPr>
          <w:p w:rsidR="008214D5" w:rsidRDefault="008214D5" w:rsidP="005F61C4">
            <w:r>
              <w:t>Scientific Ways of Knowing</w:t>
            </w:r>
          </w:p>
          <w:p w:rsidR="008214D5" w:rsidRDefault="008214D5" w:rsidP="005F61C4">
            <w:r>
              <w:t>Social and Behavioral Ways of Knowing</w:t>
            </w:r>
          </w:p>
          <w:p w:rsidR="008214D5" w:rsidRDefault="008214D5" w:rsidP="005F61C4">
            <w:r>
              <w:t>Humanistic and Artistic Ways of Knowing</w:t>
            </w:r>
          </w:p>
        </w:tc>
      </w:tr>
      <w:tr w:rsidR="008214D5" w:rsidTr="008214D5">
        <w:tc>
          <w:tcPr>
            <w:tcW w:w="4675" w:type="dxa"/>
          </w:tcPr>
          <w:p w:rsidR="008214D5" w:rsidRDefault="008214D5" w:rsidP="005F61C4"/>
          <w:p w:rsidR="008214D5" w:rsidRDefault="008214D5" w:rsidP="005F61C4">
            <w:r>
              <w:t>3</w:t>
            </w:r>
          </w:p>
        </w:tc>
        <w:tc>
          <w:tcPr>
            <w:tcW w:w="4675" w:type="dxa"/>
          </w:tcPr>
          <w:p w:rsidR="008214D5" w:rsidRDefault="008214D5" w:rsidP="005F61C4">
            <w:r>
              <w:t>Interdisciplinary or Creative Ways of Knowing</w:t>
            </w:r>
          </w:p>
          <w:p w:rsidR="008214D5" w:rsidRDefault="008214D5" w:rsidP="005F61C4">
            <w:r>
              <w:t>Capstone Experience</w:t>
            </w:r>
          </w:p>
        </w:tc>
      </w:tr>
    </w:tbl>
    <w:p w:rsidR="008214D5" w:rsidRDefault="008214D5" w:rsidP="005F61C4"/>
    <w:p w:rsidR="00E40D03" w:rsidRPr="005F61C4" w:rsidRDefault="00E40D03" w:rsidP="005F61C4">
      <w:r>
        <w:t xml:space="preserve">The department will submit a report summarizing the course level reports.  </w:t>
      </w:r>
      <w:r w:rsidR="00E20801">
        <w:t>The General Education Subcommittee will develop a</w:t>
      </w:r>
      <w:r>
        <w:t xml:space="preserve"> template support this activity.</w:t>
      </w:r>
    </w:p>
    <w:p w:rsidR="006A6518" w:rsidRDefault="006A6518" w:rsidP="00AF7E16">
      <w:pPr>
        <w:rPr>
          <w:b/>
        </w:rPr>
      </w:pPr>
    </w:p>
    <w:p w:rsidR="006A6518" w:rsidRDefault="006A6518" w:rsidP="00AF7E16">
      <w:pPr>
        <w:rPr>
          <w:b/>
        </w:rPr>
      </w:pPr>
    </w:p>
    <w:p w:rsidR="008214D5" w:rsidRDefault="008214D5" w:rsidP="00AF7E16">
      <w:pPr>
        <w:rPr>
          <w:b/>
        </w:rPr>
      </w:pPr>
      <w:r>
        <w:rPr>
          <w:b/>
        </w:rPr>
        <w:t>Course Sequencing and Advising Recommendations</w:t>
      </w:r>
    </w:p>
    <w:p w:rsidR="006B5B3D" w:rsidRDefault="006B5B3D" w:rsidP="00AF7E16">
      <w:r>
        <w:t>Analysis of the assessment results from general education and from programmatic assessment demonstrate that many of our students are not demo</w:t>
      </w:r>
      <w:r w:rsidR="006A6518">
        <w:t>nstrating higher order learning defined by some of the SLOs</w:t>
      </w:r>
      <w:r>
        <w:t xml:space="preserve">.  Specifically, assessment findings demonstrating student ability to analyze, evaluate, and create </w:t>
      </w:r>
      <w:r w:rsidR="00717145">
        <w:t xml:space="preserve">are </w:t>
      </w:r>
      <w:r>
        <w:t xml:space="preserve">weak. </w:t>
      </w:r>
    </w:p>
    <w:p w:rsidR="00933FE0" w:rsidRDefault="008214D5" w:rsidP="006B5B3D">
      <w:r>
        <w:t xml:space="preserve">To ensure that students can scaffold learning to their ultimate major, </w:t>
      </w:r>
      <w:r w:rsidR="00717145">
        <w:t xml:space="preserve">the curricular structure might be strengthened.  A structured advising approach could be implemented and general education support materials developed to enhance student progression through general education and their understanding of its purpose. </w:t>
      </w:r>
      <w:r>
        <w:t xml:space="preserve"> </w:t>
      </w:r>
      <w:r w:rsidR="00717145">
        <w:t xml:space="preserve">The structured advising approach would support the following structural changes to general education. </w:t>
      </w:r>
      <w:r w:rsidR="00933FE0">
        <w:t xml:space="preserve"> </w:t>
      </w:r>
    </w:p>
    <w:p w:rsidR="00933FE0" w:rsidRDefault="004E75E2" w:rsidP="00933FE0">
      <w:pPr>
        <w:pStyle w:val="NoSpacing"/>
        <w:numPr>
          <w:ilvl w:val="0"/>
          <w:numId w:val="7"/>
        </w:numPr>
      </w:pPr>
      <w:r w:rsidRPr="00485C37">
        <w:t>Foundational Intellectual Skills (i.e. Written Communication, Speaking and Listening, and Quantitative Reasoning) should be completed within the first 30 credit hours of a student's matriculation to degree.</w:t>
      </w:r>
    </w:p>
    <w:p w:rsidR="004E75E2" w:rsidRPr="00485C37" w:rsidRDefault="004E75E2" w:rsidP="00933FE0">
      <w:pPr>
        <w:pStyle w:val="NoSpacing"/>
        <w:numPr>
          <w:ilvl w:val="0"/>
          <w:numId w:val="7"/>
        </w:numPr>
      </w:pPr>
      <w:r w:rsidRPr="00485C37">
        <w:t>Scientific, Social and Behavioral, and Humanistic and Artistic Ways of Knowing should be completed within the first 60 hours of a st</w:t>
      </w:r>
      <w:r w:rsidR="00E51654">
        <w:t>udents' matriculation to degree.  The Humanistic and Artistic Ways of Knowing would be split requiring 3 credit hours in both humanities and fine/performing arts.</w:t>
      </w:r>
    </w:p>
    <w:p w:rsidR="004E75E2" w:rsidRPr="00485C37" w:rsidRDefault="004E75E2" w:rsidP="00933FE0">
      <w:pPr>
        <w:pStyle w:val="NoSpacing"/>
        <w:numPr>
          <w:ilvl w:val="0"/>
          <w:numId w:val="7"/>
        </w:numPr>
      </w:pPr>
      <w:r w:rsidRPr="00485C37">
        <w:t xml:space="preserve">The </w:t>
      </w:r>
      <w:r w:rsidR="00485C37" w:rsidRPr="00485C37">
        <w:t>additional</w:t>
      </w:r>
      <w:r w:rsidRPr="00485C37">
        <w:t xml:space="preserve"> </w:t>
      </w:r>
      <w:r w:rsidR="00E51654">
        <w:t xml:space="preserve">6 </w:t>
      </w:r>
      <w:r w:rsidRPr="00485C37">
        <w:t>credit hours</w:t>
      </w:r>
      <w:r w:rsidR="00485C37" w:rsidRPr="00485C37">
        <w:t xml:space="preserve"> of the state-mandated general education requirements</w:t>
      </w:r>
      <w:r w:rsidR="00E51654">
        <w:t xml:space="preserve"> would be restructured as interdisciplinary 3</w:t>
      </w:r>
      <w:r w:rsidRPr="00485C37">
        <w:t>00 level</w:t>
      </w:r>
      <w:r w:rsidR="00E51654">
        <w:t xml:space="preserve"> courses</w:t>
      </w:r>
      <w:r w:rsidRPr="00485C37">
        <w:t xml:space="preserve"> and completed within the first 90 hours of a stud</w:t>
      </w:r>
      <w:r w:rsidR="00BD6EA7">
        <w:t>ents' matriculation to degree. These courses can be specified by departments and programs to enhance the breadth of their majors or to fulfil out of department prerequisites for their majors.</w:t>
      </w:r>
    </w:p>
    <w:p w:rsidR="004E75E2" w:rsidRPr="00485C37" w:rsidRDefault="00485C37" w:rsidP="00933FE0">
      <w:pPr>
        <w:pStyle w:val="NoSpacing"/>
        <w:numPr>
          <w:ilvl w:val="0"/>
          <w:numId w:val="7"/>
        </w:numPr>
      </w:pPr>
      <w:r w:rsidRPr="00485C37">
        <w:t xml:space="preserve">The Interdisciplinary or Creative Ways of Knowing requirement should serve as a cornerstone course completed at the 300 credit level (consistent with the stated outcomes in the general education requirements) after 45 credit hours are completed (or concurrent in the semester that students will complete 45 credit hours). </w:t>
      </w:r>
      <w:r w:rsidR="00BD6EA7">
        <w:t>A significant outcome of the course would be to bridge general education to the major.</w:t>
      </w:r>
    </w:p>
    <w:p w:rsidR="00485C37" w:rsidRDefault="00F52F41" w:rsidP="004E75E2">
      <w:pPr>
        <w:pStyle w:val="NoSpacing"/>
        <w:numPr>
          <w:ilvl w:val="0"/>
          <w:numId w:val="5"/>
        </w:numPr>
      </w:pPr>
      <w:r>
        <w:t xml:space="preserve">The </w:t>
      </w:r>
      <w:r w:rsidR="00485C37" w:rsidRPr="00485C37">
        <w:t>Capstone Experience should be a 400 level course</w:t>
      </w:r>
      <w:r>
        <w:t xml:space="preserve"> taken during a student's final 30 hours of matriculation to a degree. At the major department's discretion, the capstone course can be </w:t>
      </w:r>
      <w:r w:rsidR="00485C37" w:rsidRPr="00485C37">
        <w:t>either integrated with a capstone in the major or independent of the major.</w:t>
      </w:r>
    </w:p>
    <w:p w:rsidR="006B5B3D" w:rsidRDefault="006B5B3D" w:rsidP="006B5B3D">
      <w:pPr>
        <w:pStyle w:val="NoSpacing"/>
      </w:pPr>
    </w:p>
    <w:p w:rsidR="006B5B3D" w:rsidRDefault="006B5B3D" w:rsidP="006B5B3D">
      <w:pPr>
        <w:pStyle w:val="NoSpacing"/>
      </w:pPr>
      <w:r>
        <w:t xml:space="preserve">Students transferring with </w:t>
      </w:r>
      <w:r w:rsidR="00464673">
        <w:t xml:space="preserve">an associate degree should be required to complete the </w:t>
      </w:r>
      <w:r w:rsidR="00933FE0">
        <w:t>Interdisciplinary/Creative requirement within the first 30 credit hours taken at IPFW.  The Capstone course should be taken during the final 30 hours of matriculation to degree.</w:t>
      </w:r>
    </w:p>
    <w:p w:rsidR="00933FE0" w:rsidRDefault="00933FE0" w:rsidP="006B5B3D">
      <w:pPr>
        <w:pStyle w:val="NoSpacing"/>
      </w:pPr>
    </w:p>
    <w:p w:rsidR="00933FE0" w:rsidRDefault="00933FE0" w:rsidP="006B5B3D">
      <w:pPr>
        <w:pStyle w:val="NoSpacing"/>
        <w:rPr>
          <w:b/>
        </w:rPr>
      </w:pPr>
      <w:r>
        <w:rPr>
          <w:b/>
        </w:rPr>
        <w:t>Recommendation for Implementation of Signature Assignments to Assess Student Learning</w:t>
      </w:r>
    </w:p>
    <w:p w:rsidR="00933FE0" w:rsidRDefault="00933FE0" w:rsidP="006B5B3D">
      <w:pPr>
        <w:pStyle w:val="NoSpacing"/>
        <w:rPr>
          <w:b/>
        </w:rPr>
      </w:pPr>
    </w:p>
    <w:p w:rsidR="00F06BEF" w:rsidRPr="00F06BEF" w:rsidRDefault="00933FE0" w:rsidP="00A95A4D">
      <w:pPr>
        <w:pStyle w:val="NoSpacing"/>
      </w:pPr>
      <w:r w:rsidRPr="00F06BEF">
        <w:t>Signature assignments provide an opportunity for students to demonstrate progress toward meeting specified student learning outcomes.</w:t>
      </w:r>
      <w:r w:rsidR="00E55063" w:rsidRPr="00F06BEF">
        <w:t xml:space="preserve"> </w:t>
      </w:r>
      <w:r w:rsidR="00A95A4D" w:rsidRPr="00F06BEF">
        <w:t xml:space="preserve">A signature assignment "…meets a set of broad specifications for a particular area…"(Hutchings, Jankowski, and Schultz, 2016) of a core curriculum.  In the context of this proposal, the general education program is considered the core curriculum observed.  </w:t>
      </w:r>
    </w:p>
    <w:p w:rsidR="00F06BEF" w:rsidRDefault="00F06BEF" w:rsidP="00A95A4D">
      <w:pPr>
        <w:pStyle w:val="NoSpacing"/>
      </w:pPr>
    </w:p>
    <w:p w:rsidR="009564E0" w:rsidRDefault="00F06BEF" w:rsidP="00A95A4D">
      <w:pPr>
        <w:pStyle w:val="NoSpacing"/>
      </w:pPr>
      <w:r>
        <w:t xml:space="preserve">AACU's </w:t>
      </w:r>
      <w:r w:rsidR="00A94BAC" w:rsidRPr="00F06BEF">
        <w:t>Valid Assessment of Lea</w:t>
      </w:r>
      <w:r>
        <w:t>rning in Undergraduate Research</w:t>
      </w:r>
      <w:r w:rsidR="00A94BAC" w:rsidRPr="00F06BEF">
        <w:t xml:space="preserve"> Project</w:t>
      </w:r>
      <w:r>
        <w:t xml:space="preserve"> (VALUE) </w:t>
      </w:r>
      <w:r w:rsidR="00A94BAC" w:rsidRPr="00F06BEF">
        <w:t>demonstrated the utility of assessing authentic student work across "…students' diverse learning pathways, fields of study and institutions" (AACU, 2017).  The application of AAC&amp;U's V</w:t>
      </w:r>
      <w:r w:rsidR="009564E0" w:rsidRPr="00F06BEF">
        <w:t xml:space="preserve">ALUE </w:t>
      </w:r>
      <w:r w:rsidR="00A94BAC" w:rsidRPr="00F06BEF">
        <w:t xml:space="preserve">Rubrics to assess authentic work produced by students in general education courses at PFW is proposed as the foundation of the Programmatic Assessment of General Education at PFW. </w:t>
      </w:r>
      <w:r w:rsidR="009564E0" w:rsidRPr="00F06BEF">
        <w:t xml:space="preserve"> Appendix </w:t>
      </w:r>
      <w:r w:rsidR="00E40D03" w:rsidRPr="00F06BEF">
        <w:t>B</w:t>
      </w:r>
      <w:r w:rsidR="009564E0" w:rsidRPr="00F06BEF">
        <w:t xml:space="preserve"> demonstrates how VALUE Rubrics might be used as metrics for PFW's Foundational Intellectual Skills</w:t>
      </w:r>
      <w:r w:rsidR="009564E0">
        <w:t xml:space="preserve">.  </w:t>
      </w:r>
    </w:p>
    <w:p w:rsidR="009564E0" w:rsidRDefault="009564E0" w:rsidP="00A95A4D">
      <w:pPr>
        <w:pStyle w:val="NoSpacing"/>
      </w:pPr>
    </w:p>
    <w:p w:rsidR="00B63E52" w:rsidRDefault="00576817" w:rsidP="00A95A4D">
      <w:pPr>
        <w:pStyle w:val="NoSpacing"/>
      </w:pPr>
      <w:r>
        <w:t>Signature assignments provide an opportunity to examine differential effects of course level curricular design on student learning.  The basic research design treats the assessment instrument as part of the treatment (in this case the instructional design) and the reported results are treated as an observation.</w:t>
      </w:r>
      <w:r>
        <w:rPr>
          <w:rStyle w:val="FootnoteReference"/>
        </w:rPr>
        <w:footnoteReference w:id="2"/>
      </w:r>
      <w:r>
        <w:rPr>
          <w:rStyle w:val="Hyperlink"/>
          <w:u w:val="none"/>
        </w:rPr>
        <w:t xml:space="preserve"> </w:t>
      </w:r>
      <w:r>
        <w:rPr>
          <w:rStyle w:val="Hyperlink"/>
          <w:color w:val="auto"/>
          <w:u w:val="none"/>
        </w:rPr>
        <w:t xml:space="preserve"> </w:t>
      </w:r>
      <w:r w:rsidR="009564E0">
        <w:t>A decision to use signature assignments as a platform for programmatic assessment of general education</w:t>
      </w:r>
      <w:r w:rsidR="00A94BAC">
        <w:t xml:space="preserve"> impacts the design of all general education course</w:t>
      </w:r>
      <w:r w:rsidR="00694C41">
        <w:t xml:space="preserve">s requiring general education courses to include an assignment that follows a </w:t>
      </w:r>
      <w:r w:rsidR="009564E0">
        <w:t xml:space="preserve">signature assignment </w:t>
      </w:r>
      <w:r w:rsidR="00694C41">
        <w:t xml:space="preserve">framework determined by the General Education Subcommittee. </w:t>
      </w:r>
      <w:r w:rsidR="003B1C2A">
        <w:t xml:space="preserve">The Office of Assessment </w:t>
      </w:r>
      <w:r w:rsidR="009564E0">
        <w:t>would provide training and assignment design support.  Faculty would maintain the ability to design the assignment to fit the specific content needs of the course and</w:t>
      </w:r>
      <w:r w:rsidR="003B1C2A">
        <w:t xml:space="preserve"> to assign grades and weights to the assignment</w:t>
      </w:r>
      <w:r w:rsidR="009564E0">
        <w:t xml:space="preserve">. </w:t>
      </w:r>
      <w:r w:rsidR="003B1C2A">
        <w:t xml:space="preserve"> A sample, drawn from all general education course</w:t>
      </w:r>
      <w:r>
        <w:t xml:space="preserve">s in a category could be evaluated using a standard rubric by a </w:t>
      </w:r>
      <w:r w:rsidR="003B1C2A">
        <w:t xml:space="preserve">team of trained reviewers </w:t>
      </w:r>
      <w:r>
        <w:t>as a</w:t>
      </w:r>
      <w:r w:rsidR="003B1C2A">
        <w:t xml:space="preserve"> programmatic assessment of general education.  Individual course and section data will be used as part of a periodic review</w:t>
      </w:r>
      <w:r w:rsidR="009564E0">
        <w:t xml:space="preserve"> of the general education program.  </w:t>
      </w:r>
    </w:p>
    <w:p w:rsidR="00E55063" w:rsidRDefault="00E55063" w:rsidP="006B5B3D">
      <w:pPr>
        <w:pStyle w:val="NoSpacing"/>
      </w:pPr>
    </w:p>
    <w:p w:rsidR="00E55063" w:rsidRDefault="00E55063" w:rsidP="006B5B3D">
      <w:pPr>
        <w:pStyle w:val="NoSpacing"/>
      </w:pPr>
    </w:p>
    <w:p w:rsidR="008A0E83" w:rsidRDefault="00A83BE5" w:rsidP="006B5B3D">
      <w:pPr>
        <w:pStyle w:val="NoSpacing"/>
        <w:rPr>
          <w:b/>
        </w:rPr>
      </w:pPr>
      <w:r>
        <w:rPr>
          <w:b/>
        </w:rPr>
        <w:t xml:space="preserve">Collapsing, </w:t>
      </w:r>
      <w:r w:rsidR="00E9016F">
        <w:rPr>
          <w:b/>
        </w:rPr>
        <w:t>Grouping</w:t>
      </w:r>
      <w:r>
        <w:rPr>
          <w:b/>
        </w:rPr>
        <w:t>, and Sequencing</w:t>
      </w:r>
      <w:r w:rsidR="00E9016F">
        <w:rPr>
          <w:b/>
        </w:rPr>
        <w:t xml:space="preserve"> Statewide General Education Outcomes for Assessment Efficiency and Effectiveness</w:t>
      </w:r>
    </w:p>
    <w:p w:rsidR="00E9016F" w:rsidRDefault="00E9016F" w:rsidP="006B5B3D">
      <w:pPr>
        <w:pStyle w:val="NoSpacing"/>
        <w:rPr>
          <w:b/>
        </w:rPr>
      </w:pPr>
    </w:p>
    <w:p w:rsidR="00E9016F" w:rsidRDefault="00E9016F" w:rsidP="006B5B3D">
      <w:pPr>
        <w:pStyle w:val="NoSpacing"/>
      </w:pPr>
      <w:r>
        <w:t>The final recommendation concerns the statewide general education outcomes.  The fallacy of the Statewide Outcomes was that, in many cases, the Statewide SLOs represent learning reasonably expected of students upon completion of a baccalaureate degree.</w:t>
      </w:r>
      <w:r w:rsidR="00A83BE5">
        <w:t xml:space="preserve"> In addition, a number of SLO's are written at an assignment or course level.</w:t>
      </w:r>
      <w:r>
        <w:t xml:space="preserve">  In the context of a general education requirement of approximately 32 credit hours, the design flaw</w:t>
      </w:r>
      <w:r w:rsidR="00A83BE5">
        <w:t>s</w:t>
      </w:r>
      <w:r>
        <w:t xml:space="preserve"> resulted in too many stated outcomes in most of the general education categories.  </w:t>
      </w:r>
    </w:p>
    <w:p w:rsidR="00A83BE5" w:rsidRDefault="00A83BE5" w:rsidP="006B5B3D">
      <w:pPr>
        <w:pStyle w:val="NoSpacing"/>
      </w:pPr>
    </w:p>
    <w:p w:rsidR="00A83BE5" w:rsidRDefault="00A83BE5" w:rsidP="006B5B3D">
      <w:pPr>
        <w:pStyle w:val="NoSpacing"/>
      </w:pPr>
      <w:r>
        <w:t xml:space="preserve">The proposal recommends that we collapse the statewide outcomes </w:t>
      </w:r>
      <w:r w:rsidR="00F47A19">
        <w:t>and map them to</w:t>
      </w:r>
      <w:r w:rsidR="00FE4240">
        <w:t xml:space="preserve"> approximately</w:t>
      </w:r>
      <w:r>
        <w:t xml:space="preserve"> 3 </w:t>
      </w:r>
      <w:r w:rsidR="00F47A19">
        <w:t xml:space="preserve">institutionally defined </w:t>
      </w:r>
      <w:r>
        <w:t>SLOs per category.  If the courses are sequenced as discussed in the prior section, this allows the higher cognitive levels to be assessed in the interdisciplinary and capstone domains and the mid to lower level outcomes to be assessed in the Foundational Intellectual Skills and the broad disciplinary Ways of Knowing category.  The Interdisciplinary</w:t>
      </w:r>
      <w:r w:rsidR="00FE4240">
        <w:t>/Creative</w:t>
      </w:r>
      <w:r>
        <w:t xml:space="preserve"> Ways of Knowing, for the purposes of this proposal would become a separate category of courses delivered at the 300 level.  </w:t>
      </w:r>
      <w:r w:rsidR="00FE4240">
        <w:t>The Capstone would be a 400 level course. This also begins to address a specific perception of quality problem we have created with too few 400 level courses required for graduation in many programs.</w:t>
      </w:r>
    </w:p>
    <w:p w:rsidR="00A83BE5" w:rsidRDefault="00A83BE5" w:rsidP="006B5B3D">
      <w:pPr>
        <w:pStyle w:val="NoSpacing"/>
      </w:pPr>
    </w:p>
    <w:p w:rsidR="00A83BE5" w:rsidRDefault="00A83BE5" w:rsidP="006B5B3D">
      <w:pPr>
        <w:pStyle w:val="NoSpacing"/>
      </w:pPr>
      <w:r>
        <w:t xml:space="preserve">The proposal supports the measurement of higher order cognitive skills represented by outcomes within the State Mandated SLO's in the newly configured Interdisciplinary/Creative Ways of Knowing and the Capstone through the design of signature assessments appropriate to the level of learning students are expected to demonstrate.  </w:t>
      </w:r>
    </w:p>
    <w:p w:rsidR="00E9016F" w:rsidRDefault="00E9016F" w:rsidP="006B5B3D">
      <w:pPr>
        <w:pStyle w:val="NoSpacing"/>
      </w:pPr>
    </w:p>
    <w:p w:rsidR="009564E0" w:rsidRDefault="00BC60A3" w:rsidP="006B5B3D">
      <w:pPr>
        <w:pStyle w:val="NoSpacing"/>
      </w:pPr>
      <w:r>
        <w:t>To facilitate this process, the General Education Sub-Committee could solicit a representative group of faculty to complete the restatement of general education outcomes during the 2017-18 academic year with an expectation to begin transitioning the general education program in 2018-19 academic year for implementation in the 2019-20 academic year.</w:t>
      </w:r>
    </w:p>
    <w:p w:rsidR="001D5B20" w:rsidRDefault="001D5B20" w:rsidP="006B5B3D">
      <w:pPr>
        <w:pStyle w:val="NoSpacing"/>
      </w:pPr>
    </w:p>
    <w:p w:rsidR="00C633EF" w:rsidRDefault="00C633EF" w:rsidP="006B5B3D">
      <w:pPr>
        <w:pStyle w:val="NoSpacing"/>
        <w:sectPr w:rsidR="00C633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D5B20" w:rsidRPr="00C633EF" w:rsidRDefault="00C633EF" w:rsidP="006B5B3D">
      <w:pPr>
        <w:pStyle w:val="NoSpacing"/>
        <w:rPr>
          <w:b/>
        </w:rPr>
      </w:pPr>
      <w:r>
        <w:rPr>
          <w:b/>
        </w:rPr>
        <w:t>Appendix A: Annual General Education Course Review Template</w:t>
      </w:r>
    </w:p>
    <w:p w:rsidR="001D5B20" w:rsidRDefault="001D5B20" w:rsidP="006B5B3D">
      <w:pPr>
        <w:pStyle w:val="NoSpacing"/>
      </w:pPr>
    </w:p>
    <w:p w:rsidR="002D4BE6" w:rsidRPr="002D4BE6" w:rsidRDefault="002D4BE6" w:rsidP="002D4BE6">
      <w:r w:rsidRPr="002D4BE6">
        <w:t xml:space="preserve">Faculty members teaching general education courses will provide an assessment report to the Assessment Office.  This report will identify the outcome(s) addressed, the learning activities in the course supporting the outcome, measures used, and assessment results indicating the extent to which students achieved the outcome.  Finally, the Assessment Discussion will describe the assessment findings for the course (1).  This information could be presented in tabular form documenting the level of performance (see example 1) </w:t>
      </w:r>
      <w:r>
        <w:t>on the last page of Appendix A</w:t>
      </w:r>
      <w:r w:rsidRPr="002D4BE6">
        <w:t>.  Based on your analysis of student performance, indicate what changes, if any, are planned to help improve student learning relative to the outcome.   The General Education Assessment Template is presented below:</w:t>
      </w:r>
    </w:p>
    <w:p w:rsidR="00C633EF" w:rsidRDefault="00C633EF" w:rsidP="00C633EF">
      <w:pPr>
        <w:rPr>
          <w:b/>
        </w:rPr>
      </w:pPr>
      <w:r>
        <w:rPr>
          <w:b/>
        </w:rPr>
        <w:t xml:space="preserve">Annual </w:t>
      </w:r>
      <w:r w:rsidRPr="001F3C01">
        <w:rPr>
          <w:b/>
        </w:rPr>
        <w:t>General Education Course Review Template</w:t>
      </w:r>
    </w:p>
    <w:p w:rsidR="00C633EF" w:rsidRPr="00105DE6" w:rsidRDefault="00C633EF" w:rsidP="00C633EF">
      <w:pPr>
        <w:rPr>
          <w:b/>
        </w:rPr>
      </w:pPr>
      <w:r>
        <w:rPr>
          <w:b/>
        </w:rPr>
        <w:t>Course_______</w:t>
      </w:r>
      <w:r>
        <w:rPr>
          <w:b/>
        </w:rPr>
        <w:tab/>
        <w:t>Section(s) _____</w:t>
      </w:r>
      <w:r>
        <w:rPr>
          <w:b/>
        </w:rPr>
        <w:tab/>
      </w:r>
      <w:r>
        <w:rPr>
          <w:b/>
        </w:rPr>
        <w:tab/>
      </w:r>
      <w:r>
        <w:rPr>
          <w:b/>
        </w:rPr>
        <w:tab/>
      </w:r>
    </w:p>
    <w:tbl>
      <w:tblPr>
        <w:tblStyle w:val="TableGrid"/>
        <w:tblpPr w:leftFromText="180" w:rightFromText="180" w:vertAnchor="text" w:horzAnchor="margin" w:tblpY="130"/>
        <w:tblW w:w="0" w:type="auto"/>
        <w:tblLook w:val="04A0" w:firstRow="1" w:lastRow="0" w:firstColumn="1" w:lastColumn="0" w:noHBand="0" w:noVBand="1"/>
      </w:tblPr>
      <w:tblGrid>
        <w:gridCol w:w="1388"/>
        <w:gridCol w:w="2631"/>
        <w:gridCol w:w="2843"/>
        <w:gridCol w:w="2831"/>
        <w:gridCol w:w="1620"/>
        <w:gridCol w:w="1637"/>
      </w:tblGrid>
      <w:tr w:rsidR="002079F0" w:rsidTr="002079F0">
        <w:trPr>
          <w:trHeight w:val="720"/>
        </w:trPr>
        <w:tc>
          <w:tcPr>
            <w:tcW w:w="1388" w:type="dxa"/>
            <w:vMerge w:val="restart"/>
          </w:tcPr>
          <w:p w:rsidR="002079F0" w:rsidRDefault="002079F0" w:rsidP="002079F0">
            <w:pPr>
              <w:jc w:val="center"/>
            </w:pPr>
          </w:p>
          <w:p w:rsidR="002079F0" w:rsidRDefault="002079F0" w:rsidP="002079F0">
            <w:pPr>
              <w:jc w:val="center"/>
            </w:pPr>
            <w:r>
              <w:t>General Education Outcome</w:t>
            </w:r>
          </w:p>
        </w:tc>
        <w:tc>
          <w:tcPr>
            <w:tcW w:w="2631" w:type="dxa"/>
            <w:vMerge w:val="restart"/>
          </w:tcPr>
          <w:p w:rsidR="002079F0" w:rsidRDefault="002079F0" w:rsidP="002079F0">
            <w:pPr>
              <w:jc w:val="center"/>
            </w:pPr>
          </w:p>
          <w:p w:rsidR="002079F0" w:rsidRDefault="002079F0" w:rsidP="002079F0">
            <w:pPr>
              <w:jc w:val="center"/>
            </w:pPr>
            <w:r>
              <w:t>Teaching/Learning Activity</w:t>
            </w:r>
          </w:p>
          <w:p w:rsidR="002079F0" w:rsidRDefault="002079F0" w:rsidP="002079F0">
            <w:pPr>
              <w:jc w:val="center"/>
            </w:pPr>
          </w:p>
        </w:tc>
        <w:tc>
          <w:tcPr>
            <w:tcW w:w="2843" w:type="dxa"/>
            <w:vMerge w:val="restart"/>
          </w:tcPr>
          <w:p w:rsidR="002079F0" w:rsidRDefault="002079F0" w:rsidP="002079F0">
            <w:pPr>
              <w:jc w:val="center"/>
            </w:pPr>
          </w:p>
          <w:p w:rsidR="002079F0" w:rsidRDefault="002079F0" w:rsidP="002079F0">
            <w:pPr>
              <w:jc w:val="center"/>
            </w:pPr>
            <w:r>
              <w:t xml:space="preserve">Student Learning Product or Performance from TL Activity </w:t>
            </w:r>
          </w:p>
          <w:p w:rsidR="002079F0" w:rsidRDefault="002079F0" w:rsidP="002079F0">
            <w:pPr>
              <w:jc w:val="center"/>
            </w:pPr>
          </w:p>
        </w:tc>
        <w:tc>
          <w:tcPr>
            <w:tcW w:w="2831" w:type="dxa"/>
            <w:vMerge w:val="restart"/>
          </w:tcPr>
          <w:p w:rsidR="002079F0" w:rsidRDefault="002079F0" w:rsidP="002079F0">
            <w:pPr>
              <w:jc w:val="center"/>
            </w:pPr>
          </w:p>
          <w:p w:rsidR="002079F0" w:rsidRDefault="002079F0" w:rsidP="002079F0">
            <w:pPr>
              <w:jc w:val="center"/>
            </w:pPr>
            <w:r>
              <w:t>Measure</w:t>
            </w:r>
          </w:p>
          <w:p w:rsidR="002079F0" w:rsidRDefault="002079F0" w:rsidP="002079F0">
            <w:pPr>
              <w:jc w:val="center"/>
            </w:pPr>
            <w:r>
              <w:t>(e.g. Rubric)</w:t>
            </w:r>
          </w:p>
        </w:tc>
        <w:tc>
          <w:tcPr>
            <w:tcW w:w="3257" w:type="dxa"/>
            <w:gridSpan w:val="2"/>
          </w:tcPr>
          <w:p w:rsidR="002079F0" w:rsidRDefault="002079F0" w:rsidP="002079F0">
            <w:pPr>
              <w:jc w:val="center"/>
            </w:pPr>
            <w:r>
              <w:t>Assessment of Student Learning Performance</w:t>
            </w:r>
          </w:p>
          <w:p w:rsidR="002079F0" w:rsidRDefault="002079F0" w:rsidP="002079F0">
            <w:pPr>
              <w:jc w:val="center"/>
            </w:pPr>
          </w:p>
        </w:tc>
      </w:tr>
      <w:tr w:rsidR="002079F0" w:rsidTr="002079F0">
        <w:trPr>
          <w:trHeight w:val="660"/>
        </w:trPr>
        <w:tc>
          <w:tcPr>
            <w:tcW w:w="1388" w:type="dxa"/>
            <w:vMerge/>
          </w:tcPr>
          <w:p w:rsidR="002079F0" w:rsidRDefault="002079F0" w:rsidP="002079F0">
            <w:pPr>
              <w:jc w:val="center"/>
            </w:pPr>
          </w:p>
        </w:tc>
        <w:tc>
          <w:tcPr>
            <w:tcW w:w="2631" w:type="dxa"/>
            <w:vMerge/>
          </w:tcPr>
          <w:p w:rsidR="002079F0" w:rsidRDefault="002079F0" w:rsidP="002079F0">
            <w:pPr>
              <w:jc w:val="center"/>
            </w:pPr>
          </w:p>
        </w:tc>
        <w:tc>
          <w:tcPr>
            <w:tcW w:w="2843" w:type="dxa"/>
            <w:vMerge/>
          </w:tcPr>
          <w:p w:rsidR="002079F0" w:rsidRDefault="002079F0" w:rsidP="002079F0">
            <w:pPr>
              <w:jc w:val="center"/>
            </w:pPr>
          </w:p>
        </w:tc>
        <w:tc>
          <w:tcPr>
            <w:tcW w:w="2831" w:type="dxa"/>
            <w:vMerge/>
          </w:tcPr>
          <w:p w:rsidR="002079F0" w:rsidRDefault="002079F0" w:rsidP="002079F0">
            <w:pPr>
              <w:jc w:val="center"/>
            </w:pPr>
          </w:p>
        </w:tc>
        <w:tc>
          <w:tcPr>
            <w:tcW w:w="1620" w:type="dxa"/>
          </w:tcPr>
          <w:p w:rsidR="002079F0" w:rsidRDefault="002079F0" w:rsidP="002079F0">
            <w:pPr>
              <w:jc w:val="center"/>
            </w:pPr>
            <w:r>
              <w:t>Rubric</w:t>
            </w:r>
          </w:p>
          <w:p w:rsidR="002079F0" w:rsidRDefault="002079F0" w:rsidP="002079F0">
            <w:pPr>
              <w:jc w:val="center"/>
            </w:pPr>
            <w:r>
              <w:t>Level</w:t>
            </w:r>
          </w:p>
        </w:tc>
        <w:tc>
          <w:tcPr>
            <w:tcW w:w="1637" w:type="dxa"/>
          </w:tcPr>
          <w:p w:rsidR="002079F0" w:rsidRDefault="002079F0" w:rsidP="002079F0">
            <w:pPr>
              <w:jc w:val="center"/>
            </w:pPr>
            <w:r>
              <w:t>Number of</w:t>
            </w:r>
          </w:p>
          <w:p w:rsidR="002079F0" w:rsidRDefault="002079F0" w:rsidP="002079F0">
            <w:pPr>
              <w:jc w:val="center"/>
            </w:pPr>
            <w:r>
              <w:t>Students</w:t>
            </w:r>
          </w:p>
        </w:tc>
      </w:tr>
      <w:tr w:rsidR="002079F0" w:rsidTr="002079F0">
        <w:tc>
          <w:tcPr>
            <w:tcW w:w="1388" w:type="dxa"/>
          </w:tcPr>
          <w:p w:rsidR="002079F0" w:rsidRDefault="002079F0" w:rsidP="002079F0"/>
          <w:p w:rsidR="002079F0" w:rsidRDefault="002079F0" w:rsidP="002079F0"/>
          <w:p w:rsidR="002079F0" w:rsidRDefault="002079F0" w:rsidP="002079F0"/>
        </w:tc>
        <w:tc>
          <w:tcPr>
            <w:tcW w:w="2631" w:type="dxa"/>
          </w:tcPr>
          <w:p w:rsidR="002079F0" w:rsidRDefault="002079F0" w:rsidP="002079F0"/>
        </w:tc>
        <w:tc>
          <w:tcPr>
            <w:tcW w:w="2843" w:type="dxa"/>
          </w:tcPr>
          <w:p w:rsidR="002079F0" w:rsidRDefault="002079F0" w:rsidP="002079F0"/>
        </w:tc>
        <w:tc>
          <w:tcPr>
            <w:tcW w:w="2831" w:type="dxa"/>
          </w:tcPr>
          <w:p w:rsidR="002079F0" w:rsidRDefault="002079F0" w:rsidP="002079F0"/>
        </w:tc>
        <w:tc>
          <w:tcPr>
            <w:tcW w:w="1620" w:type="dxa"/>
          </w:tcPr>
          <w:p w:rsidR="002079F0" w:rsidRDefault="002079F0" w:rsidP="002079F0"/>
        </w:tc>
        <w:tc>
          <w:tcPr>
            <w:tcW w:w="1637" w:type="dxa"/>
          </w:tcPr>
          <w:p w:rsidR="002079F0" w:rsidRDefault="002079F0" w:rsidP="002079F0"/>
        </w:tc>
      </w:tr>
      <w:tr w:rsidR="002079F0" w:rsidTr="002079F0">
        <w:tc>
          <w:tcPr>
            <w:tcW w:w="1388" w:type="dxa"/>
          </w:tcPr>
          <w:p w:rsidR="002079F0" w:rsidRDefault="002079F0" w:rsidP="002079F0"/>
          <w:p w:rsidR="002079F0" w:rsidRDefault="002079F0" w:rsidP="002079F0"/>
          <w:p w:rsidR="002079F0" w:rsidRDefault="002079F0" w:rsidP="002079F0"/>
          <w:p w:rsidR="002079F0" w:rsidRDefault="002079F0" w:rsidP="002079F0"/>
        </w:tc>
        <w:tc>
          <w:tcPr>
            <w:tcW w:w="2631" w:type="dxa"/>
          </w:tcPr>
          <w:p w:rsidR="002079F0" w:rsidRDefault="002079F0" w:rsidP="002079F0"/>
        </w:tc>
        <w:tc>
          <w:tcPr>
            <w:tcW w:w="2843" w:type="dxa"/>
          </w:tcPr>
          <w:p w:rsidR="002079F0" w:rsidRDefault="002079F0" w:rsidP="002079F0"/>
        </w:tc>
        <w:tc>
          <w:tcPr>
            <w:tcW w:w="2831" w:type="dxa"/>
          </w:tcPr>
          <w:p w:rsidR="002079F0" w:rsidRDefault="002079F0" w:rsidP="002079F0"/>
        </w:tc>
        <w:tc>
          <w:tcPr>
            <w:tcW w:w="1620" w:type="dxa"/>
          </w:tcPr>
          <w:p w:rsidR="002079F0" w:rsidRDefault="002079F0" w:rsidP="002079F0"/>
        </w:tc>
        <w:tc>
          <w:tcPr>
            <w:tcW w:w="1637" w:type="dxa"/>
          </w:tcPr>
          <w:p w:rsidR="002079F0" w:rsidRDefault="002079F0" w:rsidP="002079F0"/>
        </w:tc>
      </w:tr>
      <w:tr w:rsidR="002079F0" w:rsidTr="002079F0">
        <w:tc>
          <w:tcPr>
            <w:tcW w:w="1388" w:type="dxa"/>
          </w:tcPr>
          <w:p w:rsidR="002079F0" w:rsidRDefault="002079F0" w:rsidP="002079F0"/>
          <w:p w:rsidR="002079F0" w:rsidRDefault="002079F0" w:rsidP="002079F0"/>
          <w:p w:rsidR="002079F0" w:rsidRDefault="002079F0" w:rsidP="002079F0"/>
          <w:p w:rsidR="002079F0" w:rsidRDefault="002079F0" w:rsidP="002079F0"/>
        </w:tc>
        <w:tc>
          <w:tcPr>
            <w:tcW w:w="2631" w:type="dxa"/>
          </w:tcPr>
          <w:p w:rsidR="002079F0" w:rsidRDefault="002079F0" w:rsidP="002079F0"/>
        </w:tc>
        <w:tc>
          <w:tcPr>
            <w:tcW w:w="2843" w:type="dxa"/>
          </w:tcPr>
          <w:p w:rsidR="002079F0" w:rsidRDefault="002079F0" w:rsidP="002079F0"/>
        </w:tc>
        <w:tc>
          <w:tcPr>
            <w:tcW w:w="2831" w:type="dxa"/>
          </w:tcPr>
          <w:p w:rsidR="002079F0" w:rsidRDefault="002079F0" w:rsidP="002079F0"/>
        </w:tc>
        <w:tc>
          <w:tcPr>
            <w:tcW w:w="1620" w:type="dxa"/>
          </w:tcPr>
          <w:p w:rsidR="002079F0" w:rsidRDefault="002079F0" w:rsidP="002079F0"/>
        </w:tc>
        <w:tc>
          <w:tcPr>
            <w:tcW w:w="1637" w:type="dxa"/>
          </w:tcPr>
          <w:p w:rsidR="002079F0" w:rsidRDefault="002079F0" w:rsidP="002079F0"/>
        </w:tc>
      </w:tr>
      <w:tr w:rsidR="002079F0" w:rsidTr="002079F0">
        <w:tc>
          <w:tcPr>
            <w:tcW w:w="1388" w:type="dxa"/>
          </w:tcPr>
          <w:p w:rsidR="002079F0" w:rsidRDefault="002079F0" w:rsidP="002079F0"/>
          <w:p w:rsidR="002079F0" w:rsidRDefault="002079F0" w:rsidP="002079F0"/>
          <w:p w:rsidR="002079F0" w:rsidRDefault="002079F0" w:rsidP="002079F0"/>
          <w:p w:rsidR="002079F0" w:rsidRDefault="002079F0" w:rsidP="002079F0"/>
        </w:tc>
        <w:tc>
          <w:tcPr>
            <w:tcW w:w="2631" w:type="dxa"/>
          </w:tcPr>
          <w:p w:rsidR="002079F0" w:rsidRDefault="002079F0" w:rsidP="002079F0"/>
        </w:tc>
        <w:tc>
          <w:tcPr>
            <w:tcW w:w="2843" w:type="dxa"/>
          </w:tcPr>
          <w:p w:rsidR="002079F0" w:rsidRDefault="002079F0" w:rsidP="002079F0"/>
        </w:tc>
        <w:tc>
          <w:tcPr>
            <w:tcW w:w="2831" w:type="dxa"/>
          </w:tcPr>
          <w:p w:rsidR="002079F0" w:rsidRDefault="002079F0" w:rsidP="002079F0"/>
        </w:tc>
        <w:tc>
          <w:tcPr>
            <w:tcW w:w="1620" w:type="dxa"/>
          </w:tcPr>
          <w:p w:rsidR="002079F0" w:rsidRDefault="002079F0" w:rsidP="002079F0"/>
        </w:tc>
        <w:tc>
          <w:tcPr>
            <w:tcW w:w="1637" w:type="dxa"/>
          </w:tcPr>
          <w:p w:rsidR="002079F0" w:rsidRDefault="002079F0" w:rsidP="002079F0"/>
        </w:tc>
      </w:tr>
    </w:tbl>
    <w:p w:rsidR="00C633EF" w:rsidRDefault="00C633EF" w:rsidP="00C633EF"/>
    <w:p w:rsidR="00C633EF" w:rsidRDefault="00C633EF" w:rsidP="00C633EF"/>
    <w:p w:rsidR="00C633EF" w:rsidRDefault="00C633EF" w:rsidP="00C633EF">
      <w:r>
        <w:t>Describe your assessment findings for the course.  (How and/or to what extent did students achieve the expected learning outcome?)</w:t>
      </w:r>
    </w:p>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p w:rsidR="00C633EF" w:rsidRDefault="00C633EF" w:rsidP="00C633EF">
      <w:r>
        <w:t>Describe changes you are planning in your course to help improve student learning relative to the outcome assessed.</w:t>
      </w:r>
    </w:p>
    <w:p w:rsidR="00C633EF" w:rsidRDefault="00C633EF" w:rsidP="00C633EF"/>
    <w:p w:rsidR="002D4BE6" w:rsidRDefault="002D4BE6" w:rsidP="00C633EF"/>
    <w:p w:rsidR="002D4BE6" w:rsidRDefault="002D4BE6" w:rsidP="00C633EF"/>
    <w:p w:rsidR="002D4BE6" w:rsidRDefault="002D4BE6" w:rsidP="00C633EF"/>
    <w:p w:rsidR="002D4BE6" w:rsidRDefault="002D4BE6" w:rsidP="00C633EF"/>
    <w:p w:rsidR="002D4BE6" w:rsidRPr="002D4BE6" w:rsidRDefault="002D4BE6" w:rsidP="002D4BE6">
      <w:pPr>
        <w:rPr>
          <w:b/>
        </w:rPr>
      </w:pPr>
      <w:r>
        <w:rPr>
          <w:b/>
        </w:rPr>
        <w:t xml:space="preserve">Appendix A, </w:t>
      </w:r>
      <w:r w:rsidRPr="002D4BE6">
        <w:rPr>
          <w:b/>
        </w:rPr>
        <w:t>Example 1:</w:t>
      </w:r>
    </w:p>
    <w:tbl>
      <w:tblPr>
        <w:tblStyle w:val="TableGrid"/>
        <w:tblpPr w:leftFromText="180" w:rightFromText="180" w:vertAnchor="text" w:horzAnchor="margin" w:tblpY="24"/>
        <w:tblW w:w="12551" w:type="dxa"/>
        <w:tblLook w:val="04A0" w:firstRow="1" w:lastRow="0" w:firstColumn="1" w:lastColumn="0" w:noHBand="0" w:noVBand="1"/>
      </w:tblPr>
      <w:tblGrid>
        <w:gridCol w:w="1291"/>
        <w:gridCol w:w="1276"/>
        <w:gridCol w:w="2485"/>
        <w:gridCol w:w="2471"/>
        <w:gridCol w:w="2464"/>
        <w:gridCol w:w="1323"/>
        <w:gridCol w:w="1241"/>
      </w:tblGrid>
      <w:tr w:rsidR="002079F0" w:rsidRPr="002D4BE6" w:rsidTr="008862F7">
        <w:trPr>
          <w:trHeight w:val="466"/>
        </w:trPr>
        <w:tc>
          <w:tcPr>
            <w:tcW w:w="2567" w:type="dxa"/>
            <w:gridSpan w:val="2"/>
          </w:tcPr>
          <w:p w:rsidR="002079F0" w:rsidRPr="002D4BE6" w:rsidRDefault="002079F0" w:rsidP="008862F7">
            <w:pPr>
              <w:spacing w:after="160" w:line="259" w:lineRule="auto"/>
              <w:rPr>
                <w:b/>
              </w:rPr>
            </w:pPr>
            <w:r>
              <w:rPr>
                <w:b/>
              </w:rPr>
              <w:t>GE Outcome</w:t>
            </w:r>
          </w:p>
        </w:tc>
        <w:tc>
          <w:tcPr>
            <w:tcW w:w="2485" w:type="dxa"/>
          </w:tcPr>
          <w:p w:rsidR="002079F0" w:rsidRPr="002D4BE6" w:rsidRDefault="002079F0" w:rsidP="008862F7">
            <w:pPr>
              <w:spacing w:after="160" w:line="259" w:lineRule="auto"/>
              <w:rPr>
                <w:b/>
              </w:rPr>
            </w:pPr>
            <w:r>
              <w:rPr>
                <w:b/>
              </w:rPr>
              <w:t>Teaching/Learning Activity</w:t>
            </w:r>
          </w:p>
        </w:tc>
        <w:tc>
          <w:tcPr>
            <w:tcW w:w="2471" w:type="dxa"/>
          </w:tcPr>
          <w:p w:rsidR="002079F0" w:rsidRPr="002D4BE6" w:rsidRDefault="002079F0" w:rsidP="008862F7">
            <w:pPr>
              <w:spacing w:after="160" w:line="259" w:lineRule="auto"/>
              <w:rPr>
                <w:b/>
              </w:rPr>
            </w:pPr>
            <w:r>
              <w:rPr>
                <w:b/>
              </w:rPr>
              <w:t>Student Product or Performance from TL Activity</w:t>
            </w:r>
          </w:p>
        </w:tc>
        <w:tc>
          <w:tcPr>
            <w:tcW w:w="2464" w:type="dxa"/>
          </w:tcPr>
          <w:p w:rsidR="002079F0" w:rsidRDefault="002079F0" w:rsidP="008862F7">
            <w:pPr>
              <w:spacing w:after="160" w:line="259" w:lineRule="auto"/>
              <w:rPr>
                <w:b/>
              </w:rPr>
            </w:pPr>
            <w:r>
              <w:rPr>
                <w:b/>
              </w:rPr>
              <w:t>Measure</w:t>
            </w:r>
          </w:p>
          <w:p w:rsidR="002079F0" w:rsidRPr="002D4BE6" w:rsidRDefault="002079F0" w:rsidP="008862F7">
            <w:pPr>
              <w:spacing w:after="160" w:line="259" w:lineRule="auto"/>
              <w:rPr>
                <w:b/>
              </w:rPr>
            </w:pPr>
            <w:r>
              <w:rPr>
                <w:b/>
              </w:rPr>
              <w:t>(e.g. Rubric)</w:t>
            </w:r>
          </w:p>
        </w:tc>
        <w:tc>
          <w:tcPr>
            <w:tcW w:w="2564" w:type="dxa"/>
            <w:gridSpan w:val="2"/>
          </w:tcPr>
          <w:p w:rsidR="002079F0" w:rsidRPr="002D4BE6" w:rsidRDefault="002079F0" w:rsidP="008862F7">
            <w:pPr>
              <w:spacing w:after="160" w:line="259" w:lineRule="auto"/>
              <w:rPr>
                <w:b/>
              </w:rPr>
            </w:pPr>
            <w:r>
              <w:rPr>
                <w:b/>
              </w:rPr>
              <w:t>Assessment of Student Learning Performance</w:t>
            </w:r>
          </w:p>
        </w:tc>
      </w:tr>
      <w:tr w:rsidR="008862F7" w:rsidRPr="002D4BE6" w:rsidTr="00FB6F6D">
        <w:trPr>
          <w:trHeight w:val="572"/>
        </w:trPr>
        <w:tc>
          <w:tcPr>
            <w:tcW w:w="2567" w:type="dxa"/>
            <w:gridSpan w:val="2"/>
            <w:vMerge w:val="restart"/>
          </w:tcPr>
          <w:p w:rsidR="008862F7" w:rsidRPr="002D4BE6" w:rsidRDefault="008862F7" w:rsidP="008862F7">
            <w:pPr>
              <w:spacing w:after="160" w:line="259" w:lineRule="auto"/>
            </w:pPr>
            <w:r>
              <w:t>1.7</w:t>
            </w:r>
          </w:p>
        </w:tc>
        <w:tc>
          <w:tcPr>
            <w:tcW w:w="2485" w:type="dxa"/>
            <w:vMerge w:val="restart"/>
          </w:tcPr>
          <w:p w:rsidR="008862F7" w:rsidRDefault="008862F7" w:rsidP="008862F7">
            <w:pPr>
              <w:spacing w:after="160" w:line="259" w:lineRule="auto"/>
            </w:pPr>
            <w:r>
              <w:t>Guided Inquiry Activities:</w:t>
            </w:r>
          </w:p>
          <w:p w:rsidR="008862F7" w:rsidRDefault="008862F7" w:rsidP="008862F7">
            <w:pPr>
              <w:pStyle w:val="ListParagraph"/>
              <w:numPr>
                <w:ilvl w:val="0"/>
                <w:numId w:val="5"/>
              </w:numPr>
            </w:pPr>
            <w:r>
              <w:t>Determining relevant sources exercise</w:t>
            </w:r>
          </w:p>
          <w:p w:rsidR="008862F7" w:rsidRDefault="008862F7" w:rsidP="008862F7">
            <w:pPr>
              <w:pStyle w:val="ListParagraph"/>
              <w:numPr>
                <w:ilvl w:val="0"/>
                <w:numId w:val="5"/>
              </w:numPr>
            </w:pPr>
            <w:r>
              <w:t>Lecture on evaluating sources</w:t>
            </w:r>
          </w:p>
          <w:p w:rsidR="008862F7" w:rsidRPr="002D4BE6" w:rsidRDefault="008862F7" w:rsidP="008862F7">
            <w:pPr>
              <w:pStyle w:val="ListParagraph"/>
              <w:numPr>
                <w:ilvl w:val="0"/>
                <w:numId w:val="5"/>
              </w:numPr>
            </w:pPr>
            <w:r>
              <w:t>Electronic Data Base Hunt</w:t>
            </w:r>
          </w:p>
        </w:tc>
        <w:tc>
          <w:tcPr>
            <w:tcW w:w="2471" w:type="dxa"/>
            <w:vMerge w:val="restart"/>
          </w:tcPr>
          <w:p w:rsidR="008862F7" w:rsidRDefault="008862F7" w:rsidP="008862F7">
            <w:pPr>
              <w:spacing w:after="160" w:line="259" w:lineRule="auto"/>
            </w:pPr>
          </w:p>
          <w:p w:rsidR="008862F7" w:rsidRDefault="008862F7" w:rsidP="008862F7">
            <w:pPr>
              <w:spacing w:after="160" w:line="259" w:lineRule="auto"/>
            </w:pPr>
          </w:p>
          <w:p w:rsidR="008862F7" w:rsidRPr="002D4BE6" w:rsidRDefault="008862F7" w:rsidP="008862F7">
            <w:pPr>
              <w:spacing w:after="160" w:line="259" w:lineRule="auto"/>
            </w:pPr>
            <w:r>
              <w:t>Three paragraph description of search strategy and an Annotated Biography</w:t>
            </w:r>
          </w:p>
        </w:tc>
        <w:tc>
          <w:tcPr>
            <w:tcW w:w="2464" w:type="dxa"/>
            <w:vMerge w:val="restart"/>
          </w:tcPr>
          <w:p w:rsidR="008862F7" w:rsidRDefault="008862F7" w:rsidP="008862F7">
            <w:pPr>
              <w:spacing w:after="160" w:line="259" w:lineRule="auto"/>
            </w:pPr>
          </w:p>
          <w:p w:rsidR="008862F7" w:rsidRDefault="008862F7" w:rsidP="008862F7">
            <w:pPr>
              <w:spacing w:after="160" w:line="259" w:lineRule="auto"/>
            </w:pPr>
          </w:p>
          <w:p w:rsidR="008862F7" w:rsidRDefault="008862F7" w:rsidP="008862F7">
            <w:pPr>
              <w:spacing w:after="160" w:line="259" w:lineRule="auto"/>
            </w:pPr>
          </w:p>
          <w:p w:rsidR="008862F7" w:rsidRPr="002D4BE6" w:rsidRDefault="008862F7" w:rsidP="008862F7">
            <w:pPr>
              <w:spacing w:after="160" w:line="259" w:lineRule="auto"/>
            </w:pPr>
            <w:r>
              <w:t>GE SLO 1.7 Rubric</w:t>
            </w:r>
          </w:p>
        </w:tc>
        <w:tc>
          <w:tcPr>
            <w:tcW w:w="1323" w:type="dxa"/>
          </w:tcPr>
          <w:p w:rsidR="008862F7" w:rsidRPr="002D4BE6" w:rsidRDefault="008862F7" w:rsidP="008862F7">
            <w:pPr>
              <w:spacing w:after="160" w:line="259" w:lineRule="auto"/>
            </w:pPr>
            <w:r>
              <w:t xml:space="preserve"> Rubric Level</w:t>
            </w:r>
          </w:p>
        </w:tc>
        <w:tc>
          <w:tcPr>
            <w:tcW w:w="1241" w:type="dxa"/>
          </w:tcPr>
          <w:p w:rsidR="008862F7" w:rsidRPr="002D4BE6" w:rsidRDefault="008862F7" w:rsidP="008862F7">
            <w:r>
              <w:t># of Students</w:t>
            </w:r>
          </w:p>
        </w:tc>
      </w:tr>
      <w:tr w:rsidR="008862F7" w:rsidRPr="002D4BE6" w:rsidTr="008862F7">
        <w:trPr>
          <w:trHeight w:val="495"/>
        </w:trPr>
        <w:tc>
          <w:tcPr>
            <w:tcW w:w="2567" w:type="dxa"/>
            <w:gridSpan w:val="2"/>
            <w:vMerge/>
          </w:tcPr>
          <w:p w:rsidR="008862F7" w:rsidRDefault="008862F7" w:rsidP="008862F7"/>
        </w:tc>
        <w:tc>
          <w:tcPr>
            <w:tcW w:w="2485" w:type="dxa"/>
            <w:vMerge/>
          </w:tcPr>
          <w:p w:rsidR="008862F7" w:rsidRDefault="008862F7" w:rsidP="008862F7"/>
        </w:tc>
        <w:tc>
          <w:tcPr>
            <w:tcW w:w="2471" w:type="dxa"/>
            <w:vMerge/>
          </w:tcPr>
          <w:p w:rsidR="008862F7" w:rsidRDefault="008862F7" w:rsidP="008862F7"/>
        </w:tc>
        <w:tc>
          <w:tcPr>
            <w:tcW w:w="2464" w:type="dxa"/>
            <w:vMerge/>
          </w:tcPr>
          <w:p w:rsidR="008862F7" w:rsidRDefault="008862F7" w:rsidP="008862F7"/>
        </w:tc>
        <w:tc>
          <w:tcPr>
            <w:tcW w:w="1323" w:type="dxa"/>
          </w:tcPr>
          <w:p w:rsidR="008862F7" w:rsidRDefault="008862F7" w:rsidP="008862F7"/>
          <w:p w:rsidR="008862F7" w:rsidRDefault="008862F7" w:rsidP="008862F7">
            <w:r>
              <w:t>Capstone</w:t>
            </w:r>
          </w:p>
        </w:tc>
        <w:tc>
          <w:tcPr>
            <w:tcW w:w="1241" w:type="dxa"/>
          </w:tcPr>
          <w:p w:rsidR="008862F7" w:rsidRDefault="008862F7" w:rsidP="008862F7"/>
          <w:p w:rsidR="008862F7" w:rsidRPr="002D4BE6" w:rsidRDefault="008862F7" w:rsidP="008862F7">
            <w:r>
              <w:t>14</w:t>
            </w:r>
          </w:p>
        </w:tc>
      </w:tr>
      <w:tr w:rsidR="008862F7" w:rsidRPr="002D4BE6" w:rsidTr="008862F7">
        <w:trPr>
          <w:trHeight w:val="495"/>
        </w:trPr>
        <w:tc>
          <w:tcPr>
            <w:tcW w:w="2567" w:type="dxa"/>
            <w:gridSpan w:val="2"/>
            <w:vMerge/>
          </w:tcPr>
          <w:p w:rsidR="008862F7" w:rsidRDefault="008862F7" w:rsidP="008862F7"/>
        </w:tc>
        <w:tc>
          <w:tcPr>
            <w:tcW w:w="2485" w:type="dxa"/>
            <w:vMerge/>
          </w:tcPr>
          <w:p w:rsidR="008862F7" w:rsidRDefault="008862F7" w:rsidP="008862F7"/>
        </w:tc>
        <w:tc>
          <w:tcPr>
            <w:tcW w:w="2471" w:type="dxa"/>
            <w:vMerge/>
          </w:tcPr>
          <w:p w:rsidR="008862F7" w:rsidRDefault="008862F7" w:rsidP="008862F7"/>
        </w:tc>
        <w:tc>
          <w:tcPr>
            <w:tcW w:w="2464" w:type="dxa"/>
            <w:vMerge/>
          </w:tcPr>
          <w:p w:rsidR="008862F7" w:rsidRDefault="008862F7" w:rsidP="008862F7"/>
        </w:tc>
        <w:tc>
          <w:tcPr>
            <w:tcW w:w="1323" w:type="dxa"/>
          </w:tcPr>
          <w:p w:rsidR="008862F7" w:rsidRDefault="008862F7" w:rsidP="008862F7"/>
          <w:p w:rsidR="008862F7" w:rsidRDefault="008862F7" w:rsidP="008862F7">
            <w:r>
              <w:t>Mile 2</w:t>
            </w:r>
          </w:p>
        </w:tc>
        <w:tc>
          <w:tcPr>
            <w:tcW w:w="1241" w:type="dxa"/>
          </w:tcPr>
          <w:p w:rsidR="008862F7" w:rsidRDefault="008862F7" w:rsidP="008862F7"/>
          <w:p w:rsidR="008862F7" w:rsidRDefault="008862F7" w:rsidP="008862F7">
            <w:r>
              <w:t>14</w:t>
            </w:r>
          </w:p>
        </w:tc>
      </w:tr>
      <w:tr w:rsidR="008862F7" w:rsidRPr="002D4BE6" w:rsidTr="008862F7">
        <w:trPr>
          <w:trHeight w:val="635"/>
        </w:trPr>
        <w:tc>
          <w:tcPr>
            <w:tcW w:w="2567" w:type="dxa"/>
            <w:gridSpan w:val="2"/>
            <w:vMerge/>
          </w:tcPr>
          <w:p w:rsidR="008862F7" w:rsidRDefault="008862F7" w:rsidP="008862F7"/>
        </w:tc>
        <w:tc>
          <w:tcPr>
            <w:tcW w:w="2485" w:type="dxa"/>
            <w:vMerge/>
          </w:tcPr>
          <w:p w:rsidR="008862F7" w:rsidRDefault="008862F7" w:rsidP="008862F7"/>
        </w:tc>
        <w:tc>
          <w:tcPr>
            <w:tcW w:w="2471" w:type="dxa"/>
            <w:vMerge/>
          </w:tcPr>
          <w:p w:rsidR="008862F7" w:rsidRDefault="008862F7" w:rsidP="008862F7"/>
        </w:tc>
        <w:tc>
          <w:tcPr>
            <w:tcW w:w="2464" w:type="dxa"/>
            <w:vMerge/>
          </w:tcPr>
          <w:p w:rsidR="008862F7" w:rsidRDefault="008862F7" w:rsidP="008862F7"/>
        </w:tc>
        <w:tc>
          <w:tcPr>
            <w:tcW w:w="1323" w:type="dxa"/>
          </w:tcPr>
          <w:p w:rsidR="008862F7" w:rsidRDefault="008862F7" w:rsidP="008862F7"/>
          <w:p w:rsidR="008862F7" w:rsidRDefault="008862F7" w:rsidP="008862F7">
            <w:r>
              <w:t>Mile 1</w:t>
            </w:r>
          </w:p>
        </w:tc>
        <w:tc>
          <w:tcPr>
            <w:tcW w:w="1241" w:type="dxa"/>
          </w:tcPr>
          <w:p w:rsidR="008862F7" w:rsidRDefault="008862F7" w:rsidP="008862F7"/>
          <w:p w:rsidR="008862F7" w:rsidRDefault="008862F7" w:rsidP="008862F7">
            <w:r>
              <w:t>3</w:t>
            </w:r>
          </w:p>
        </w:tc>
      </w:tr>
      <w:tr w:rsidR="008862F7" w:rsidRPr="002D4BE6" w:rsidTr="008862F7">
        <w:trPr>
          <w:trHeight w:val="495"/>
        </w:trPr>
        <w:tc>
          <w:tcPr>
            <w:tcW w:w="2567" w:type="dxa"/>
            <w:gridSpan w:val="2"/>
            <w:vMerge/>
          </w:tcPr>
          <w:p w:rsidR="008862F7" w:rsidRDefault="008862F7" w:rsidP="008862F7"/>
        </w:tc>
        <w:tc>
          <w:tcPr>
            <w:tcW w:w="2485" w:type="dxa"/>
            <w:vMerge/>
          </w:tcPr>
          <w:p w:rsidR="008862F7" w:rsidRDefault="008862F7" w:rsidP="008862F7"/>
        </w:tc>
        <w:tc>
          <w:tcPr>
            <w:tcW w:w="2471" w:type="dxa"/>
            <w:vMerge/>
          </w:tcPr>
          <w:p w:rsidR="008862F7" w:rsidRDefault="008862F7" w:rsidP="008862F7"/>
        </w:tc>
        <w:tc>
          <w:tcPr>
            <w:tcW w:w="2464" w:type="dxa"/>
            <w:vMerge/>
          </w:tcPr>
          <w:p w:rsidR="008862F7" w:rsidRDefault="008862F7" w:rsidP="008862F7"/>
        </w:tc>
        <w:tc>
          <w:tcPr>
            <w:tcW w:w="1323" w:type="dxa"/>
          </w:tcPr>
          <w:p w:rsidR="008862F7" w:rsidRDefault="008862F7" w:rsidP="008862F7"/>
          <w:p w:rsidR="008862F7" w:rsidRDefault="008862F7" w:rsidP="008862F7">
            <w:r>
              <w:t>Benchmark</w:t>
            </w:r>
          </w:p>
        </w:tc>
        <w:tc>
          <w:tcPr>
            <w:tcW w:w="1241" w:type="dxa"/>
          </w:tcPr>
          <w:p w:rsidR="008862F7" w:rsidRDefault="008862F7" w:rsidP="008862F7"/>
          <w:p w:rsidR="008862F7" w:rsidRDefault="00F815E6" w:rsidP="008862F7">
            <w:r>
              <w:t>3</w:t>
            </w:r>
          </w:p>
        </w:tc>
      </w:tr>
      <w:tr w:rsidR="008862F7" w:rsidRPr="002D4BE6" w:rsidTr="008862F7">
        <w:trPr>
          <w:trHeight w:val="570"/>
        </w:trPr>
        <w:tc>
          <w:tcPr>
            <w:tcW w:w="2567" w:type="dxa"/>
            <w:gridSpan w:val="2"/>
            <w:vMerge/>
          </w:tcPr>
          <w:p w:rsidR="008862F7" w:rsidRDefault="008862F7" w:rsidP="008862F7"/>
        </w:tc>
        <w:tc>
          <w:tcPr>
            <w:tcW w:w="2485" w:type="dxa"/>
            <w:vMerge/>
          </w:tcPr>
          <w:p w:rsidR="008862F7" w:rsidRDefault="008862F7" w:rsidP="008862F7"/>
        </w:tc>
        <w:tc>
          <w:tcPr>
            <w:tcW w:w="2471" w:type="dxa"/>
            <w:vMerge/>
          </w:tcPr>
          <w:p w:rsidR="008862F7" w:rsidRDefault="008862F7" w:rsidP="008862F7"/>
        </w:tc>
        <w:tc>
          <w:tcPr>
            <w:tcW w:w="2464" w:type="dxa"/>
            <w:vMerge/>
          </w:tcPr>
          <w:p w:rsidR="008862F7" w:rsidRDefault="008862F7" w:rsidP="008862F7"/>
        </w:tc>
        <w:tc>
          <w:tcPr>
            <w:tcW w:w="1323" w:type="dxa"/>
          </w:tcPr>
          <w:p w:rsidR="008862F7" w:rsidRDefault="008862F7" w:rsidP="008862F7"/>
          <w:p w:rsidR="00F815E6" w:rsidRDefault="00F815E6" w:rsidP="008862F7">
            <w:r>
              <w:t>Total</w:t>
            </w:r>
          </w:p>
        </w:tc>
        <w:tc>
          <w:tcPr>
            <w:tcW w:w="1241" w:type="dxa"/>
          </w:tcPr>
          <w:p w:rsidR="008862F7" w:rsidRDefault="008862F7" w:rsidP="008862F7"/>
          <w:p w:rsidR="00F815E6" w:rsidRDefault="00F815E6" w:rsidP="008862F7">
            <w:r>
              <w:t>34</w:t>
            </w:r>
          </w:p>
        </w:tc>
      </w:tr>
      <w:tr w:rsidR="002079F0" w:rsidRPr="002D4BE6" w:rsidTr="00FB6F6D">
        <w:trPr>
          <w:trHeight w:val="473"/>
        </w:trPr>
        <w:tc>
          <w:tcPr>
            <w:tcW w:w="1291" w:type="dxa"/>
            <w:vMerge w:val="restart"/>
          </w:tcPr>
          <w:p w:rsidR="002079F0" w:rsidRPr="002D4BE6" w:rsidRDefault="002079F0" w:rsidP="008862F7">
            <w:pPr>
              <w:spacing w:after="160" w:line="259" w:lineRule="auto"/>
              <w:rPr>
                <w:b/>
              </w:rPr>
            </w:pPr>
          </w:p>
          <w:p w:rsidR="002079F0" w:rsidRPr="002D4BE6" w:rsidRDefault="002079F0" w:rsidP="008862F7">
            <w:pPr>
              <w:spacing w:after="160" w:line="259" w:lineRule="auto"/>
              <w:rPr>
                <w:b/>
              </w:rPr>
            </w:pPr>
            <w:r w:rsidRPr="002D4BE6">
              <w:rPr>
                <w:b/>
              </w:rPr>
              <w:t>Course</w:t>
            </w:r>
          </w:p>
        </w:tc>
        <w:tc>
          <w:tcPr>
            <w:tcW w:w="1276" w:type="dxa"/>
            <w:vMerge w:val="restart"/>
          </w:tcPr>
          <w:p w:rsidR="002079F0" w:rsidRPr="002D4BE6" w:rsidRDefault="002079F0" w:rsidP="008862F7">
            <w:pPr>
              <w:spacing w:after="160" w:line="259" w:lineRule="auto"/>
              <w:rPr>
                <w:b/>
              </w:rPr>
            </w:pPr>
          </w:p>
          <w:p w:rsidR="002079F0" w:rsidRPr="002D4BE6" w:rsidRDefault="00F815E6" w:rsidP="008862F7">
            <w:pPr>
              <w:spacing w:after="160" w:line="259" w:lineRule="auto"/>
              <w:rPr>
                <w:b/>
              </w:rPr>
            </w:pPr>
            <w:r>
              <w:rPr>
                <w:b/>
              </w:rPr>
              <w:t>Section</w:t>
            </w:r>
          </w:p>
        </w:tc>
        <w:tc>
          <w:tcPr>
            <w:tcW w:w="9984" w:type="dxa"/>
            <w:gridSpan w:val="5"/>
          </w:tcPr>
          <w:p w:rsidR="002079F0" w:rsidRPr="002D4BE6" w:rsidRDefault="002079F0" w:rsidP="008862F7">
            <w:pPr>
              <w:spacing w:after="160" w:line="259" w:lineRule="auto"/>
              <w:rPr>
                <w:b/>
              </w:rPr>
            </w:pPr>
            <w:r w:rsidRPr="002D4BE6">
              <w:rPr>
                <w:b/>
              </w:rPr>
              <w:t>Number of Students Achieving Level of Lea</w:t>
            </w:r>
            <w:r w:rsidR="00F815E6">
              <w:rPr>
                <w:b/>
              </w:rPr>
              <w:t xml:space="preserve">rning </w:t>
            </w:r>
            <w:r w:rsidRPr="002D4BE6">
              <w:rPr>
                <w:b/>
              </w:rPr>
              <w:t>Relative to Rubric Below</w:t>
            </w:r>
          </w:p>
        </w:tc>
      </w:tr>
      <w:tr w:rsidR="002079F0" w:rsidRPr="002D4BE6" w:rsidTr="00F815E6">
        <w:trPr>
          <w:trHeight w:val="527"/>
        </w:trPr>
        <w:tc>
          <w:tcPr>
            <w:tcW w:w="1291" w:type="dxa"/>
            <w:vMerge/>
          </w:tcPr>
          <w:p w:rsidR="002079F0" w:rsidRPr="002D4BE6" w:rsidRDefault="002079F0" w:rsidP="008862F7">
            <w:pPr>
              <w:spacing w:after="160" w:line="259" w:lineRule="auto"/>
              <w:rPr>
                <w:b/>
              </w:rPr>
            </w:pPr>
          </w:p>
        </w:tc>
        <w:tc>
          <w:tcPr>
            <w:tcW w:w="1276" w:type="dxa"/>
            <w:vMerge/>
          </w:tcPr>
          <w:p w:rsidR="002079F0" w:rsidRPr="002D4BE6" w:rsidRDefault="002079F0" w:rsidP="008862F7">
            <w:pPr>
              <w:spacing w:after="160" w:line="259" w:lineRule="auto"/>
              <w:rPr>
                <w:b/>
              </w:rPr>
            </w:pPr>
          </w:p>
        </w:tc>
        <w:tc>
          <w:tcPr>
            <w:tcW w:w="2485" w:type="dxa"/>
          </w:tcPr>
          <w:p w:rsidR="002079F0" w:rsidRPr="002D4BE6" w:rsidRDefault="002079F0" w:rsidP="008862F7">
            <w:pPr>
              <w:spacing w:after="160" w:line="259" w:lineRule="auto"/>
              <w:rPr>
                <w:b/>
              </w:rPr>
            </w:pPr>
            <w:r w:rsidRPr="002D4BE6">
              <w:rPr>
                <w:b/>
              </w:rPr>
              <w:t>Capstone (4)</w:t>
            </w:r>
          </w:p>
        </w:tc>
        <w:tc>
          <w:tcPr>
            <w:tcW w:w="2471" w:type="dxa"/>
          </w:tcPr>
          <w:p w:rsidR="002079F0" w:rsidRPr="002D4BE6" w:rsidRDefault="002079F0" w:rsidP="008862F7">
            <w:pPr>
              <w:spacing w:after="160" w:line="259" w:lineRule="auto"/>
              <w:rPr>
                <w:b/>
              </w:rPr>
            </w:pPr>
            <w:r w:rsidRPr="002D4BE6">
              <w:rPr>
                <w:b/>
              </w:rPr>
              <w:t>Milestone 2 (3)</w:t>
            </w:r>
          </w:p>
        </w:tc>
        <w:tc>
          <w:tcPr>
            <w:tcW w:w="2464" w:type="dxa"/>
          </w:tcPr>
          <w:p w:rsidR="002079F0" w:rsidRPr="002D4BE6" w:rsidRDefault="002079F0" w:rsidP="008862F7">
            <w:pPr>
              <w:spacing w:after="160" w:line="259" w:lineRule="auto"/>
              <w:rPr>
                <w:b/>
              </w:rPr>
            </w:pPr>
            <w:r w:rsidRPr="002D4BE6">
              <w:rPr>
                <w:b/>
              </w:rPr>
              <w:t>Milestone 1 (2)</w:t>
            </w:r>
          </w:p>
        </w:tc>
        <w:tc>
          <w:tcPr>
            <w:tcW w:w="2564" w:type="dxa"/>
            <w:gridSpan w:val="2"/>
          </w:tcPr>
          <w:p w:rsidR="002079F0" w:rsidRPr="002D4BE6" w:rsidRDefault="00F815E6" w:rsidP="008862F7">
            <w:pPr>
              <w:spacing w:after="160" w:line="259" w:lineRule="auto"/>
              <w:rPr>
                <w:b/>
              </w:rPr>
            </w:pPr>
            <w:r>
              <w:rPr>
                <w:b/>
              </w:rPr>
              <w:t>Benchmark (1)</w:t>
            </w:r>
          </w:p>
        </w:tc>
      </w:tr>
      <w:tr w:rsidR="002079F0" w:rsidRPr="002D4BE6" w:rsidTr="008862F7">
        <w:trPr>
          <w:trHeight w:val="451"/>
        </w:trPr>
        <w:tc>
          <w:tcPr>
            <w:tcW w:w="1291" w:type="dxa"/>
          </w:tcPr>
          <w:p w:rsidR="002079F0" w:rsidRPr="002D4BE6" w:rsidRDefault="002079F0" w:rsidP="008862F7">
            <w:pPr>
              <w:spacing w:after="160" w:line="259" w:lineRule="auto"/>
            </w:pPr>
            <w:r w:rsidRPr="002D4BE6">
              <w:t>XXX</w:t>
            </w:r>
          </w:p>
        </w:tc>
        <w:tc>
          <w:tcPr>
            <w:tcW w:w="1276" w:type="dxa"/>
          </w:tcPr>
          <w:p w:rsidR="002079F0" w:rsidRPr="002D4BE6" w:rsidRDefault="002079F0" w:rsidP="008862F7">
            <w:pPr>
              <w:spacing w:after="160" w:line="259" w:lineRule="auto"/>
            </w:pPr>
            <w:r w:rsidRPr="002D4BE6">
              <w:t>01</w:t>
            </w:r>
          </w:p>
        </w:tc>
        <w:tc>
          <w:tcPr>
            <w:tcW w:w="2485" w:type="dxa"/>
          </w:tcPr>
          <w:p w:rsidR="002079F0" w:rsidRPr="002D4BE6" w:rsidRDefault="002079F0" w:rsidP="008862F7">
            <w:pPr>
              <w:spacing w:after="160" w:line="259" w:lineRule="auto"/>
            </w:pPr>
            <w:r>
              <w:t>3</w:t>
            </w:r>
          </w:p>
        </w:tc>
        <w:tc>
          <w:tcPr>
            <w:tcW w:w="2471" w:type="dxa"/>
          </w:tcPr>
          <w:p w:rsidR="002079F0" w:rsidRPr="002D4BE6" w:rsidRDefault="002079F0" w:rsidP="008862F7">
            <w:pPr>
              <w:spacing w:after="160" w:line="259" w:lineRule="auto"/>
            </w:pPr>
            <w:r>
              <w:t>10</w:t>
            </w:r>
          </w:p>
        </w:tc>
        <w:tc>
          <w:tcPr>
            <w:tcW w:w="2464" w:type="dxa"/>
          </w:tcPr>
          <w:p w:rsidR="002079F0" w:rsidRPr="002D4BE6" w:rsidRDefault="002079F0" w:rsidP="008862F7">
            <w:pPr>
              <w:spacing w:after="160" w:line="259" w:lineRule="auto"/>
            </w:pPr>
            <w:r>
              <w:t>2</w:t>
            </w:r>
          </w:p>
        </w:tc>
        <w:tc>
          <w:tcPr>
            <w:tcW w:w="2564" w:type="dxa"/>
            <w:gridSpan w:val="2"/>
          </w:tcPr>
          <w:p w:rsidR="002079F0" w:rsidRPr="002D4BE6" w:rsidRDefault="002079F0" w:rsidP="008862F7">
            <w:pPr>
              <w:spacing w:after="160" w:line="259" w:lineRule="auto"/>
            </w:pPr>
            <w:r>
              <w:t>2</w:t>
            </w:r>
          </w:p>
        </w:tc>
      </w:tr>
      <w:tr w:rsidR="00111618" w:rsidRPr="002D4BE6" w:rsidTr="008862F7">
        <w:trPr>
          <w:trHeight w:val="451"/>
        </w:trPr>
        <w:tc>
          <w:tcPr>
            <w:tcW w:w="1291" w:type="dxa"/>
          </w:tcPr>
          <w:p w:rsidR="00111618" w:rsidRPr="002D4BE6" w:rsidRDefault="00111618" w:rsidP="008862F7">
            <w:r>
              <w:t>XXX</w:t>
            </w:r>
          </w:p>
        </w:tc>
        <w:tc>
          <w:tcPr>
            <w:tcW w:w="1276" w:type="dxa"/>
          </w:tcPr>
          <w:p w:rsidR="00111618" w:rsidRPr="002D4BE6" w:rsidRDefault="00111618" w:rsidP="008862F7">
            <w:r>
              <w:t>02</w:t>
            </w:r>
          </w:p>
        </w:tc>
        <w:tc>
          <w:tcPr>
            <w:tcW w:w="2485" w:type="dxa"/>
          </w:tcPr>
          <w:p w:rsidR="00111618" w:rsidRDefault="00111618" w:rsidP="008862F7">
            <w:r>
              <w:t>11</w:t>
            </w:r>
          </w:p>
        </w:tc>
        <w:tc>
          <w:tcPr>
            <w:tcW w:w="2471" w:type="dxa"/>
          </w:tcPr>
          <w:p w:rsidR="00111618" w:rsidRDefault="00111618" w:rsidP="008862F7">
            <w:r>
              <w:t>4</w:t>
            </w:r>
          </w:p>
        </w:tc>
        <w:tc>
          <w:tcPr>
            <w:tcW w:w="2464" w:type="dxa"/>
          </w:tcPr>
          <w:p w:rsidR="00111618" w:rsidRDefault="00111618" w:rsidP="008862F7">
            <w:r>
              <w:t>1</w:t>
            </w:r>
          </w:p>
        </w:tc>
        <w:tc>
          <w:tcPr>
            <w:tcW w:w="2564" w:type="dxa"/>
            <w:gridSpan w:val="2"/>
          </w:tcPr>
          <w:p w:rsidR="00111618" w:rsidRDefault="00111618" w:rsidP="008862F7">
            <w:r>
              <w:t>1</w:t>
            </w:r>
          </w:p>
        </w:tc>
      </w:tr>
    </w:tbl>
    <w:p w:rsidR="002079F0" w:rsidRDefault="002079F0" w:rsidP="002079F0">
      <w:pPr>
        <w:pStyle w:val="NoSpacing"/>
        <w:jc w:val="right"/>
      </w:pPr>
    </w:p>
    <w:p w:rsidR="002079F0" w:rsidRDefault="002079F0" w:rsidP="002079F0">
      <w:pPr>
        <w:pStyle w:val="NoSpacing"/>
        <w:jc w:val="right"/>
      </w:pPr>
    </w:p>
    <w:p w:rsidR="002079F0" w:rsidRDefault="002079F0" w:rsidP="002079F0">
      <w:pPr>
        <w:pStyle w:val="NoSpacing"/>
        <w:jc w:val="right"/>
      </w:pPr>
    </w:p>
    <w:p w:rsidR="002079F0" w:rsidRPr="002079F0" w:rsidRDefault="002079F0" w:rsidP="002079F0"/>
    <w:p w:rsidR="002079F0" w:rsidRPr="002079F0" w:rsidRDefault="002079F0" w:rsidP="002079F0"/>
    <w:p w:rsidR="00F82728" w:rsidRPr="00F82728" w:rsidRDefault="00F82728" w:rsidP="00F82728">
      <w:pPr>
        <w:rPr>
          <w:b/>
        </w:rPr>
      </w:pPr>
      <w:r w:rsidRPr="00F82728">
        <w:rPr>
          <w:b/>
        </w:rPr>
        <w:t>Describe your assessment findings for the course.  (How and/or to what extent did students achieve the expected learning outcome?):</w:t>
      </w:r>
    </w:p>
    <w:p w:rsidR="00F82728" w:rsidRDefault="00F82728" w:rsidP="00F82728"/>
    <w:p w:rsidR="00F82728" w:rsidRDefault="00111618" w:rsidP="00F82728">
      <w:r>
        <w:t>We expected 70% of students to demonstrate capstone level in the assignment.  Section 2</w:t>
      </w:r>
      <w:r w:rsidR="008862F7">
        <w:t xml:space="preserve"> had added a library exercise based on last semester's results and</w:t>
      </w:r>
      <w:r>
        <w:t xml:space="preserve"> approached 70%</w:t>
      </w:r>
      <w:r w:rsidR="008862F7">
        <w:t xml:space="preserve"> at capstone level while Section 1 did not. </w:t>
      </w:r>
      <w:r>
        <w:t xml:space="preserve">A comparison of the two sections revealed that </w:t>
      </w:r>
      <w:r w:rsidR="008862F7">
        <w:t>the</w:t>
      </w:r>
      <w:r>
        <w:t xml:space="preserve"> two day exercise in the library with a resource specialist on search strategies and identifying valid sources in electronic data bases</w:t>
      </w:r>
      <w:r w:rsidR="008862F7">
        <w:t xml:space="preserve"> likely contributed to the difference in performance</w:t>
      </w:r>
      <w:r>
        <w:t xml:space="preserve">. </w:t>
      </w:r>
      <w:r w:rsidR="008862F7">
        <w:t>An analysis of variance was conducted on the results of a pre-test in both sections and revealed no significant difference.  This suggested the two groups were comparable and approached equivalence. The addition of the library exercise was the only difference.</w:t>
      </w:r>
    </w:p>
    <w:p w:rsidR="00F82728" w:rsidRDefault="00F82728" w:rsidP="00F82728"/>
    <w:p w:rsidR="00F82728" w:rsidRDefault="00F82728" w:rsidP="00F82728">
      <w:pPr>
        <w:rPr>
          <w:b/>
        </w:rPr>
      </w:pPr>
      <w:r w:rsidRPr="00F82728">
        <w:rPr>
          <w:b/>
        </w:rPr>
        <w:t>Describe changes you are planning in your course to help improve student learning relative to the outcome assessed.</w:t>
      </w:r>
    </w:p>
    <w:p w:rsidR="00F82728" w:rsidRDefault="00F82728" w:rsidP="00F82728"/>
    <w:p w:rsidR="00111618" w:rsidRPr="00F82728" w:rsidRDefault="00111618" w:rsidP="00F82728">
      <w:r>
        <w:t>Students</w:t>
      </w:r>
      <w:r w:rsidR="006D6BB7">
        <w:t xml:space="preserve"> in all sections</w:t>
      </w:r>
      <w:r>
        <w:t xml:space="preserve"> will spend one to two class periods in a structured learning environment with the resource specialist to demonstrate selection of valid electronic sources.  In addition, we are adding r</w:t>
      </w:r>
      <w:r w:rsidR="006D6BB7">
        <w:t xml:space="preserve">esource materials in Blackboard on selecting electronic data bases. </w:t>
      </w:r>
    </w:p>
    <w:p w:rsidR="002079F0" w:rsidRPr="002079F0" w:rsidRDefault="002079F0" w:rsidP="002079F0"/>
    <w:p w:rsidR="002079F0" w:rsidRPr="002079F0" w:rsidRDefault="002079F0" w:rsidP="002079F0"/>
    <w:p w:rsidR="002079F0" w:rsidRPr="002079F0" w:rsidRDefault="002079F0" w:rsidP="002079F0"/>
    <w:p w:rsidR="002079F0" w:rsidRPr="002079F0" w:rsidRDefault="002079F0" w:rsidP="002079F0"/>
    <w:p w:rsidR="002079F0" w:rsidRPr="002079F0" w:rsidRDefault="002079F0" w:rsidP="002079F0"/>
    <w:p w:rsidR="00C633EF" w:rsidRPr="002079F0" w:rsidRDefault="00C633EF" w:rsidP="002079F0">
      <w:pPr>
        <w:sectPr w:rsidR="00C633EF" w:rsidRPr="002079F0" w:rsidSect="00C633EF">
          <w:pgSz w:w="15840" w:h="12240" w:orient="landscape"/>
          <w:pgMar w:top="1440" w:right="1440" w:bottom="1440" w:left="1440" w:header="720" w:footer="720" w:gutter="0"/>
          <w:cols w:space="720"/>
          <w:docGrid w:linePitch="360"/>
        </w:sectPr>
      </w:pPr>
    </w:p>
    <w:tbl>
      <w:tblPr>
        <w:tblStyle w:val="TableGrid1"/>
        <w:tblpPr w:leftFromText="180" w:rightFromText="180" w:vertAnchor="page" w:horzAnchor="margin" w:tblpY="2326"/>
        <w:tblW w:w="0" w:type="auto"/>
        <w:tblLook w:val="04A0" w:firstRow="1" w:lastRow="0" w:firstColumn="1" w:lastColumn="0" w:noHBand="0" w:noVBand="1"/>
      </w:tblPr>
      <w:tblGrid>
        <w:gridCol w:w="2590"/>
        <w:gridCol w:w="2590"/>
        <w:gridCol w:w="2590"/>
        <w:gridCol w:w="2590"/>
        <w:gridCol w:w="2590"/>
      </w:tblGrid>
      <w:tr w:rsidR="009564E0" w:rsidRPr="009564E0" w:rsidTr="00B1790F">
        <w:tc>
          <w:tcPr>
            <w:tcW w:w="2590" w:type="dxa"/>
          </w:tcPr>
          <w:p w:rsidR="009564E0" w:rsidRPr="009564E0" w:rsidRDefault="009564E0" w:rsidP="00B1790F">
            <w:pPr>
              <w:rPr>
                <w:b/>
              </w:rPr>
            </w:pPr>
          </w:p>
        </w:tc>
        <w:tc>
          <w:tcPr>
            <w:tcW w:w="10360" w:type="dxa"/>
            <w:gridSpan w:val="4"/>
          </w:tcPr>
          <w:p w:rsidR="009564E0" w:rsidRPr="009564E0" w:rsidRDefault="009564E0" w:rsidP="00B1790F">
            <w:pPr>
              <w:jc w:val="center"/>
              <w:rPr>
                <w:b/>
              </w:rPr>
            </w:pPr>
            <w:r w:rsidRPr="009564E0">
              <w:rPr>
                <w:b/>
              </w:rPr>
              <w:t>IPFW General Education Rubric (Grounded in AAC&amp;U Value Rubrics) – Written Communication</w:t>
            </w:r>
          </w:p>
        </w:tc>
      </w:tr>
      <w:tr w:rsidR="009564E0" w:rsidRPr="009564E0" w:rsidTr="00B1790F">
        <w:tc>
          <w:tcPr>
            <w:tcW w:w="2590" w:type="dxa"/>
            <w:vMerge w:val="restart"/>
          </w:tcPr>
          <w:p w:rsidR="009564E0" w:rsidRPr="009564E0" w:rsidRDefault="009564E0" w:rsidP="00B1790F">
            <w:r w:rsidRPr="009564E0">
              <w:rPr>
                <w:b/>
              </w:rPr>
              <w:t>IPFW General Education Student Learning Outcomes</w:t>
            </w:r>
          </w:p>
        </w:tc>
        <w:tc>
          <w:tcPr>
            <w:tcW w:w="2590" w:type="dxa"/>
            <w:vMerge w:val="restart"/>
          </w:tcPr>
          <w:p w:rsidR="009564E0" w:rsidRPr="009564E0" w:rsidRDefault="009564E0" w:rsidP="00B1790F">
            <w:pPr>
              <w:jc w:val="center"/>
              <w:rPr>
                <w:b/>
              </w:rPr>
            </w:pPr>
            <w:r w:rsidRPr="009564E0">
              <w:rPr>
                <w:b/>
              </w:rPr>
              <w:t>Capstone</w:t>
            </w:r>
          </w:p>
          <w:p w:rsidR="009564E0" w:rsidRPr="009564E0" w:rsidRDefault="009564E0" w:rsidP="00B1790F">
            <w:pPr>
              <w:jc w:val="center"/>
              <w:rPr>
                <w:b/>
              </w:rPr>
            </w:pPr>
            <w:r w:rsidRPr="009564E0">
              <w:rPr>
                <w:b/>
              </w:rPr>
              <w:t>4</w:t>
            </w:r>
          </w:p>
        </w:tc>
        <w:tc>
          <w:tcPr>
            <w:tcW w:w="5180" w:type="dxa"/>
            <w:gridSpan w:val="2"/>
          </w:tcPr>
          <w:p w:rsidR="009564E0" w:rsidRPr="009564E0" w:rsidRDefault="009564E0" w:rsidP="00B1790F">
            <w:pPr>
              <w:jc w:val="center"/>
              <w:rPr>
                <w:b/>
              </w:rPr>
            </w:pPr>
            <w:r w:rsidRPr="009564E0">
              <w:rPr>
                <w:b/>
              </w:rPr>
              <w:t>Milestones</w:t>
            </w:r>
          </w:p>
        </w:tc>
        <w:tc>
          <w:tcPr>
            <w:tcW w:w="2590" w:type="dxa"/>
            <w:vMerge w:val="restart"/>
          </w:tcPr>
          <w:p w:rsidR="009564E0" w:rsidRPr="009564E0" w:rsidRDefault="009564E0" w:rsidP="00B1790F">
            <w:pPr>
              <w:jc w:val="center"/>
              <w:rPr>
                <w:b/>
              </w:rPr>
            </w:pPr>
            <w:r w:rsidRPr="009564E0">
              <w:rPr>
                <w:b/>
              </w:rPr>
              <w:t>Benchmark</w:t>
            </w:r>
          </w:p>
          <w:p w:rsidR="009564E0" w:rsidRPr="009564E0" w:rsidRDefault="009564E0" w:rsidP="00B1790F">
            <w:pPr>
              <w:jc w:val="center"/>
              <w:rPr>
                <w:b/>
              </w:rPr>
            </w:pPr>
            <w:r w:rsidRPr="009564E0">
              <w:rPr>
                <w:b/>
              </w:rPr>
              <w:t>1</w:t>
            </w:r>
          </w:p>
        </w:tc>
      </w:tr>
      <w:tr w:rsidR="009564E0" w:rsidRPr="009564E0" w:rsidTr="00B1790F">
        <w:tc>
          <w:tcPr>
            <w:tcW w:w="2590" w:type="dxa"/>
            <w:vMerge/>
          </w:tcPr>
          <w:p w:rsidR="009564E0" w:rsidRPr="009564E0" w:rsidRDefault="009564E0" w:rsidP="00B1790F"/>
        </w:tc>
        <w:tc>
          <w:tcPr>
            <w:tcW w:w="2590" w:type="dxa"/>
            <w:vMerge/>
          </w:tcPr>
          <w:p w:rsidR="009564E0" w:rsidRPr="009564E0" w:rsidRDefault="009564E0" w:rsidP="00B1790F">
            <w:pPr>
              <w:jc w:val="center"/>
            </w:pPr>
          </w:p>
        </w:tc>
        <w:tc>
          <w:tcPr>
            <w:tcW w:w="2590" w:type="dxa"/>
          </w:tcPr>
          <w:p w:rsidR="009564E0" w:rsidRPr="009564E0" w:rsidRDefault="009564E0" w:rsidP="00B1790F">
            <w:pPr>
              <w:jc w:val="center"/>
              <w:rPr>
                <w:b/>
              </w:rPr>
            </w:pPr>
            <w:r w:rsidRPr="009564E0">
              <w:rPr>
                <w:b/>
              </w:rPr>
              <w:t>3</w:t>
            </w:r>
          </w:p>
        </w:tc>
        <w:tc>
          <w:tcPr>
            <w:tcW w:w="2590" w:type="dxa"/>
          </w:tcPr>
          <w:p w:rsidR="009564E0" w:rsidRPr="009564E0" w:rsidRDefault="009564E0" w:rsidP="00B1790F">
            <w:pPr>
              <w:jc w:val="center"/>
              <w:rPr>
                <w:b/>
              </w:rPr>
            </w:pPr>
            <w:r w:rsidRPr="009564E0">
              <w:rPr>
                <w:b/>
              </w:rPr>
              <w:t>2</w:t>
            </w:r>
          </w:p>
        </w:tc>
        <w:tc>
          <w:tcPr>
            <w:tcW w:w="2590" w:type="dxa"/>
            <w:vMerge/>
          </w:tcPr>
          <w:p w:rsidR="009564E0" w:rsidRPr="009564E0" w:rsidRDefault="009564E0" w:rsidP="00B1790F">
            <w:pPr>
              <w:jc w:val="center"/>
            </w:pPr>
          </w:p>
        </w:tc>
      </w:tr>
      <w:tr w:rsidR="009564E0" w:rsidRPr="009564E0" w:rsidTr="00B1790F">
        <w:tc>
          <w:tcPr>
            <w:tcW w:w="2590" w:type="dxa"/>
            <w:vMerge w:val="restart"/>
          </w:tcPr>
          <w:p w:rsidR="009564E0" w:rsidRPr="009564E0" w:rsidRDefault="009564E0" w:rsidP="00B1790F">
            <w:r w:rsidRPr="009564E0">
              <w:t>1.1. Produce texts that use appropriate formats, genre conventions, and documentation styles while controlling tone, syntax, grammar, and spelling.</w:t>
            </w:r>
          </w:p>
        </w:tc>
        <w:tc>
          <w:tcPr>
            <w:tcW w:w="2590" w:type="dxa"/>
          </w:tcPr>
          <w:p w:rsidR="009564E0" w:rsidRPr="009564E0" w:rsidRDefault="009564E0" w:rsidP="00B1790F">
            <w:r w:rsidRPr="009564E0">
              <w:t>Demonstrates detailed attention to and successful execution of a wide range of conventions particular to a specific</w:t>
            </w:r>
          </w:p>
          <w:p w:rsidR="009564E0" w:rsidRPr="009564E0" w:rsidRDefault="009564E0" w:rsidP="00B1790F">
            <w:r w:rsidRPr="009564E0">
              <w:t>discipline and/or writing task (s) including organization, content,</w:t>
            </w:r>
          </w:p>
          <w:p w:rsidR="009564E0" w:rsidRPr="009564E0" w:rsidRDefault="009564E0" w:rsidP="00B1790F">
            <w:r w:rsidRPr="009564E0">
              <w:t>presentation, formatting, and stylistic choices</w:t>
            </w:r>
          </w:p>
        </w:tc>
        <w:tc>
          <w:tcPr>
            <w:tcW w:w="2590" w:type="dxa"/>
          </w:tcPr>
          <w:p w:rsidR="009564E0" w:rsidRPr="009564E0" w:rsidRDefault="009564E0" w:rsidP="00B1790F">
            <w:r w:rsidRPr="009564E0">
              <w:t>Demonstrates consistent use of important conventions particular to a specific discipline and/or writing task(s), including organization, content,</w:t>
            </w:r>
          </w:p>
          <w:p w:rsidR="009564E0" w:rsidRPr="009564E0" w:rsidRDefault="009564E0" w:rsidP="00B1790F">
            <w:pPr>
              <w:rPr>
                <w:b/>
              </w:rPr>
            </w:pPr>
            <w:r w:rsidRPr="009564E0">
              <w:t>presentation, and stylistic choices</w:t>
            </w:r>
          </w:p>
        </w:tc>
        <w:tc>
          <w:tcPr>
            <w:tcW w:w="2590" w:type="dxa"/>
          </w:tcPr>
          <w:p w:rsidR="009564E0" w:rsidRPr="009564E0" w:rsidRDefault="009564E0" w:rsidP="00B1790F">
            <w:r w:rsidRPr="009564E0">
              <w:t>Follows expectations appropriate to a</w:t>
            </w:r>
          </w:p>
          <w:p w:rsidR="009564E0" w:rsidRPr="009564E0" w:rsidRDefault="009564E0" w:rsidP="00B1790F">
            <w:r w:rsidRPr="009564E0">
              <w:t>specific discipline and/or writing task(s) for basic organization, content, and presentation</w:t>
            </w:r>
          </w:p>
        </w:tc>
        <w:tc>
          <w:tcPr>
            <w:tcW w:w="2590" w:type="dxa"/>
          </w:tcPr>
          <w:p w:rsidR="009564E0" w:rsidRPr="009564E0" w:rsidRDefault="009564E0" w:rsidP="00B1790F">
            <w:pPr>
              <w:autoSpaceDE w:val="0"/>
              <w:autoSpaceDN w:val="0"/>
              <w:adjustRightInd w:val="0"/>
            </w:pPr>
            <w:r w:rsidRPr="009564E0">
              <w:t>Attempts to use a consistent system for basic organization and presentation.</w:t>
            </w:r>
          </w:p>
        </w:tc>
      </w:tr>
      <w:tr w:rsidR="009564E0" w:rsidRPr="009564E0" w:rsidTr="00B1790F">
        <w:tc>
          <w:tcPr>
            <w:tcW w:w="2590" w:type="dxa"/>
            <w:vMerge/>
          </w:tcPr>
          <w:p w:rsidR="009564E0" w:rsidRPr="009564E0" w:rsidRDefault="009564E0" w:rsidP="00B1790F"/>
        </w:tc>
        <w:tc>
          <w:tcPr>
            <w:tcW w:w="2590" w:type="dxa"/>
          </w:tcPr>
          <w:p w:rsidR="009564E0" w:rsidRPr="009564E0" w:rsidRDefault="009564E0" w:rsidP="00B1790F">
            <w:r w:rsidRPr="009564E0">
              <w:t>Uses graceful language that skillfully communicates meaning to readers with clarity and fluency, and is virtually error- free.</w:t>
            </w:r>
          </w:p>
        </w:tc>
        <w:tc>
          <w:tcPr>
            <w:tcW w:w="2590" w:type="dxa"/>
          </w:tcPr>
          <w:p w:rsidR="009564E0" w:rsidRPr="009564E0" w:rsidRDefault="009564E0" w:rsidP="00B1790F">
            <w:pPr>
              <w:autoSpaceDE w:val="0"/>
              <w:autoSpaceDN w:val="0"/>
              <w:adjustRightInd w:val="0"/>
            </w:pPr>
            <w:r w:rsidRPr="009564E0">
              <w:t>Uses straightforward language that generally conveys meaning to readers. The language in the assignment has few errors.</w:t>
            </w:r>
          </w:p>
        </w:tc>
        <w:tc>
          <w:tcPr>
            <w:tcW w:w="2590" w:type="dxa"/>
          </w:tcPr>
          <w:p w:rsidR="009564E0" w:rsidRPr="009564E0" w:rsidRDefault="009564E0" w:rsidP="00B1790F">
            <w:r w:rsidRPr="009564E0">
              <w:t>Uses language that generally conveys meaning to readers with clarity, although writing may include some errors.</w:t>
            </w:r>
          </w:p>
        </w:tc>
        <w:tc>
          <w:tcPr>
            <w:tcW w:w="2590" w:type="dxa"/>
          </w:tcPr>
          <w:p w:rsidR="009564E0" w:rsidRPr="009564E0" w:rsidRDefault="009564E0" w:rsidP="00B1790F">
            <w:pPr>
              <w:autoSpaceDE w:val="0"/>
              <w:autoSpaceDN w:val="0"/>
              <w:adjustRightInd w:val="0"/>
            </w:pPr>
            <w:r w:rsidRPr="009564E0">
              <w:t>Uses language that sometimes impedes meaning because of errors in usage.</w:t>
            </w:r>
          </w:p>
        </w:tc>
      </w:tr>
      <w:tr w:rsidR="009564E0" w:rsidRPr="009564E0" w:rsidTr="00B1790F">
        <w:trPr>
          <w:trHeight w:val="810"/>
        </w:trPr>
        <w:tc>
          <w:tcPr>
            <w:tcW w:w="2590" w:type="dxa"/>
            <w:vMerge w:val="restart"/>
          </w:tcPr>
          <w:p w:rsidR="009564E0" w:rsidRPr="009564E0" w:rsidRDefault="009564E0" w:rsidP="00B1790F">
            <w:r w:rsidRPr="009564E0">
              <w:t xml:space="preserve">1.2. Demonstrate an understanding of writing as a social process that includes multiple drafts, collaboration, and </w:t>
            </w:r>
            <w:commentRangeStart w:id="0"/>
            <w:commentRangeStart w:id="1"/>
            <w:r w:rsidRPr="009564E0">
              <w:t>reflection</w:t>
            </w:r>
            <w:commentRangeEnd w:id="0"/>
            <w:r w:rsidRPr="009564E0">
              <w:rPr>
                <w:sz w:val="16"/>
                <w:szCs w:val="16"/>
              </w:rPr>
              <w:commentReference w:id="0"/>
            </w:r>
            <w:commentRangeEnd w:id="1"/>
            <w:r w:rsidRPr="009564E0">
              <w:rPr>
                <w:sz w:val="16"/>
                <w:szCs w:val="16"/>
              </w:rPr>
              <w:commentReference w:id="1"/>
            </w:r>
            <w:r w:rsidRPr="009564E0">
              <w:t>.</w:t>
            </w:r>
          </w:p>
        </w:tc>
        <w:tc>
          <w:tcPr>
            <w:tcW w:w="2590" w:type="dxa"/>
          </w:tcPr>
          <w:p w:rsidR="009564E0" w:rsidRPr="009564E0" w:rsidRDefault="009564E0" w:rsidP="00B1790F">
            <w:r w:rsidRPr="009564E0">
              <w:t>Builds on the ideas of others to advance the work of the writing.</w:t>
            </w:r>
          </w:p>
        </w:tc>
        <w:tc>
          <w:tcPr>
            <w:tcW w:w="2590" w:type="dxa"/>
          </w:tcPr>
          <w:p w:rsidR="009564E0" w:rsidRPr="009564E0" w:rsidRDefault="009564E0" w:rsidP="00B1790F">
            <w:pPr>
              <w:autoSpaceDE w:val="0"/>
              <w:autoSpaceDN w:val="0"/>
              <w:adjustRightInd w:val="0"/>
            </w:pPr>
            <w:r w:rsidRPr="009564E0">
              <w:t>Offers solutions or courses of action that advance the work of the writing.</w:t>
            </w:r>
          </w:p>
        </w:tc>
        <w:tc>
          <w:tcPr>
            <w:tcW w:w="2590" w:type="dxa"/>
          </w:tcPr>
          <w:p w:rsidR="009564E0" w:rsidRPr="009564E0" w:rsidRDefault="009564E0" w:rsidP="00B1790F">
            <w:r w:rsidRPr="009564E0">
              <w:t>Offers/accepts suggestions to advance the work of the writing.</w:t>
            </w:r>
          </w:p>
        </w:tc>
        <w:tc>
          <w:tcPr>
            <w:tcW w:w="2590" w:type="dxa"/>
          </w:tcPr>
          <w:p w:rsidR="009564E0" w:rsidRPr="009564E0" w:rsidRDefault="009564E0" w:rsidP="00B1790F">
            <w:pPr>
              <w:autoSpaceDE w:val="0"/>
              <w:autoSpaceDN w:val="0"/>
              <w:adjustRightInd w:val="0"/>
            </w:pPr>
            <w:r w:rsidRPr="009564E0">
              <w:t>Communicates ideas but does not advance the work of the writing.</w:t>
            </w:r>
          </w:p>
        </w:tc>
      </w:tr>
      <w:tr w:rsidR="009564E0" w:rsidRPr="009564E0" w:rsidTr="00B1790F">
        <w:trPr>
          <w:trHeight w:val="810"/>
        </w:trPr>
        <w:tc>
          <w:tcPr>
            <w:tcW w:w="2590" w:type="dxa"/>
            <w:vMerge/>
          </w:tcPr>
          <w:p w:rsidR="009564E0" w:rsidRPr="009564E0" w:rsidRDefault="009564E0" w:rsidP="00B1790F"/>
        </w:tc>
        <w:tc>
          <w:tcPr>
            <w:tcW w:w="2590" w:type="dxa"/>
          </w:tcPr>
          <w:p w:rsidR="009564E0" w:rsidRPr="009564E0" w:rsidRDefault="009564E0" w:rsidP="00B1790F">
            <w:r w:rsidRPr="009564E0">
              <w:t>Completes at least two drafts that show significant changes and reflects on what was learned through the drafting process.</w:t>
            </w:r>
          </w:p>
        </w:tc>
        <w:tc>
          <w:tcPr>
            <w:tcW w:w="2590" w:type="dxa"/>
          </w:tcPr>
          <w:p w:rsidR="009564E0" w:rsidRPr="009564E0" w:rsidRDefault="009564E0" w:rsidP="00B1790F">
            <w:pPr>
              <w:autoSpaceDE w:val="0"/>
              <w:autoSpaceDN w:val="0"/>
              <w:adjustRightInd w:val="0"/>
            </w:pPr>
            <w:r w:rsidRPr="009564E0">
              <w:t>Completes at least two drafts that show significant changes and reflects on their significance.</w:t>
            </w:r>
          </w:p>
        </w:tc>
        <w:tc>
          <w:tcPr>
            <w:tcW w:w="2590" w:type="dxa"/>
          </w:tcPr>
          <w:p w:rsidR="009564E0" w:rsidRPr="009564E0" w:rsidRDefault="009564E0" w:rsidP="00B1790F">
            <w:r w:rsidRPr="009564E0">
              <w:t>Completes at least two drafts that show changes and reflects on the changes.</w:t>
            </w:r>
          </w:p>
        </w:tc>
        <w:tc>
          <w:tcPr>
            <w:tcW w:w="2590" w:type="dxa"/>
          </w:tcPr>
          <w:p w:rsidR="009564E0" w:rsidRPr="009564E0" w:rsidRDefault="009564E0" w:rsidP="00B1790F">
            <w:pPr>
              <w:autoSpaceDE w:val="0"/>
              <w:autoSpaceDN w:val="0"/>
              <w:adjustRightInd w:val="0"/>
            </w:pPr>
            <w:r w:rsidRPr="009564E0">
              <w:t>Completes at least two drafts that show changes and reflects on the writing.</w:t>
            </w:r>
          </w:p>
        </w:tc>
      </w:tr>
    </w:tbl>
    <w:p w:rsidR="009564E0" w:rsidRPr="009564E0" w:rsidRDefault="00B1790F" w:rsidP="009564E0">
      <w:pPr>
        <w:rPr>
          <w:b/>
        </w:rPr>
      </w:pPr>
      <w:r>
        <w:rPr>
          <w:b/>
        </w:rPr>
        <w:t xml:space="preserve">Appendix </w:t>
      </w:r>
      <w:r w:rsidR="00C633EF">
        <w:rPr>
          <w:b/>
        </w:rPr>
        <w:t>B</w:t>
      </w:r>
      <w:r>
        <w:rPr>
          <w:b/>
        </w:rPr>
        <w:t>: IPFW Foundational Knowledge and AAC&amp;U Value Rubrics</w:t>
      </w:r>
    </w:p>
    <w:p w:rsidR="009564E0" w:rsidRPr="009564E0" w:rsidRDefault="009564E0" w:rsidP="009564E0">
      <w:pPr>
        <w:rPr>
          <w:rFonts w:asciiTheme="minorHAnsi" w:hAnsiTheme="minorHAnsi" w:cstheme="minorBidi"/>
          <w:b/>
          <w:sz w:val="22"/>
          <w:szCs w:val="22"/>
        </w:rPr>
      </w:pPr>
      <w:r w:rsidRPr="009564E0">
        <w:rPr>
          <w:rFonts w:asciiTheme="minorHAnsi" w:hAnsiTheme="minorHAnsi" w:cstheme="minorBidi"/>
          <w:b/>
          <w:sz w:val="22"/>
          <w:szCs w:val="22"/>
        </w:rPr>
        <w:br w:type="page"/>
      </w:r>
    </w:p>
    <w:p w:rsidR="009564E0" w:rsidRPr="009564E0" w:rsidRDefault="009564E0" w:rsidP="009564E0">
      <w:pPr>
        <w:rPr>
          <w:rFonts w:asciiTheme="minorHAnsi" w:hAnsiTheme="minorHAnsi" w:cstheme="minorBidi"/>
          <w:sz w:val="22"/>
          <w:szCs w:val="22"/>
        </w:rPr>
      </w:pPr>
    </w:p>
    <w:tbl>
      <w:tblPr>
        <w:tblStyle w:val="TableGrid1"/>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rPr>
                <w:b/>
              </w:rPr>
            </w:pPr>
          </w:p>
        </w:tc>
        <w:tc>
          <w:tcPr>
            <w:tcW w:w="10360" w:type="dxa"/>
            <w:gridSpan w:val="4"/>
          </w:tcPr>
          <w:p w:rsidR="009564E0" w:rsidRPr="009564E0" w:rsidRDefault="009564E0" w:rsidP="009564E0">
            <w:pPr>
              <w:jc w:val="center"/>
              <w:rPr>
                <w:b/>
              </w:rPr>
            </w:pPr>
            <w:r w:rsidRPr="009564E0">
              <w:rPr>
                <w:b/>
              </w:rPr>
              <w:t>IPFW General Education Rubric (Grounded in AAC&amp;U Value Rubrics) – Written Communication</w:t>
            </w:r>
          </w:p>
        </w:tc>
      </w:tr>
      <w:tr w:rsidR="009564E0" w:rsidRPr="009564E0" w:rsidTr="0007185A">
        <w:tc>
          <w:tcPr>
            <w:tcW w:w="2590" w:type="dxa"/>
            <w:vMerge w:val="restart"/>
          </w:tcPr>
          <w:p w:rsidR="009564E0" w:rsidRPr="009564E0" w:rsidRDefault="009564E0" w:rsidP="009564E0">
            <w:r w:rsidRPr="009564E0">
              <w:rPr>
                <w:b/>
              </w:rPr>
              <w:t>IPFW General Education Student Learning Outcomes</w:t>
            </w:r>
          </w:p>
        </w:tc>
        <w:tc>
          <w:tcPr>
            <w:tcW w:w="2590" w:type="dxa"/>
            <w:vMerge w:val="restart"/>
          </w:tcPr>
          <w:p w:rsidR="009564E0" w:rsidRPr="009564E0" w:rsidRDefault="009564E0" w:rsidP="009564E0">
            <w:pPr>
              <w:jc w:val="center"/>
              <w:rPr>
                <w:b/>
              </w:rPr>
            </w:pPr>
            <w:r w:rsidRPr="009564E0">
              <w:rPr>
                <w:b/>
              </w:rPr>
              <w:t>Capstone</w:t>
            </w:r>
          </w:p>
          <w:p w:rsidR="009564E0" w:rsidRPr="009564E0" w:rsidRDefault="009564E0" w:rsidP="009564E0">
            <w:pPr>
              <w:jc w:val="center"/>
              <w:rPr>
                <w:b/>
              </w:rPr>
            </w:pPr>
            <w:r w:rsidRPr="009564E0">
              <w:rPr>
                <w:b/>
              </w:rPr>
              <w:t>4</w:t>
            </w:r>
          </w:p>
        </w:tc>
        <w:tc>
          <w:tcPr>
            <w:tcW w:w="5180" w:type="dxa"/>
            <w:gridSpan w:val="2"/>
          </w:tcPr>
          <w:p w:rsidR="009564E0" w:rsidRPr="009564E0" w:rsidRDefault="009564E0" w:rsidP="009564E0">
            <w:pPr>
              <w:jc w:val="center"/>
              <w:rPr>
                <w:b/>
              </w:rPr>
            </w:pPr>
            <w:r w:rsidRPr="009564E0">
              <w:rPr>
                <w:b/>
              </w:rPr>
              <w:t>Milestones</w:t>
            </w:r>
          </w:p>
        </w:tc>
        <w:tc>
          <w:tcPr>
            <w:tcW w:w="2590" w:type="dxa"/>
            <w:vMerge w:val="restart"/>
          </w:tcPr>
          <w:p w:rsidR="009564E0" w:rsidRPr="009564E0" w:rsidRDefault="009564E0" w:rsidP="009564E0">
            <w:pPr>
              <w:jc w:val="center"/>
              <w:rPr>
                <w:b/>
              </w:rPr>
            </w:pPr>
            <w:r w:rsidRPr="009564E0">
              <w:rPr>
                <w:b/>
              </w:rPr>
              <w:t>Benchmark</w:t>
            </w:r>
          </w:p>
          <w:p w:rsidR="009564E0" w:rsidRPr="009564E0" w:rsidRDefault="009564E0" w:rsidP="009564E0">
            <w:pPr>
              <w:jc w:val="center"/>
              <w:rPr>
                <w:b/>
              </w:rPr>
            </w:pPr>
            <w:r w:rsidRPr="009564E0">
              <w:rPr>
                <w:b/>
              </w:rPr>
              <w:t>1</w:t>
            </w:r>
          </w:p>
        </w:tc>
      </w:tr>
      <w:tr w:rsidR="009564E0" w:rsidRPr="009564E0" w:rsidTr="0007185A">
        <w:tc>
          <w:tcPr>
            <w:tcW w:w="2590" w:type="dxa"/>
            <w:vMerge/>
          </w:tcPr>
          <w:p w:rsidR="009564E0" w:rsidRPr="009564E0" w:rsidRDefault="009564E0" w:rsidP="009564E0"/>
        </w:tc>
        <w:tc>
          <w:tcPr>
            <w:tcW w:w="2590" w:type="dxa"/>
            <w:vMerge/>
          </w:tcPr>
          <w:p w:rsidR="009564E0" w:rsidRPr="009564E0" w:rsidRDefault="009564E0" w:rsidP="009564E0">
            <w:pPr>
              <w:jc w:val="center"/>
            </w:pPr>
          </w:p>
        </w:tc>
        <w:tc>
          <w:tcPr>
            <w:tcW w:w="2590" w:type="dxa"/>
          </w:tcPr>
          <w:p w:rsidR="009564E0" w:rsidRPr="009564E0" w:rsidRDefault="009564E0" w:rsidP="009564E0">
            <w:pPr>
              <w:jc w:val="center"/>
              <w:rPr>
                <w:b/>
              </w:rPr>
            </w:pPr>
            <w:r w:rsidRPr="009564E0">
              <w:rPr>
                <w:b/>
              </w:rPr>
              <w:t>3</w:t>
            </w:r>
          </w:p>
        </w:tc>
        <w:tc>
          <w:tcPr>
            <w:tcW w:w="2590" w:type="dxa"/>
          </w:tcPr>
          <w:p w:rsidR="009564E0" w:rsidRPr="009564E0" w:rsidRDefault="009564E0" w:rsidP="009564E0">
            <w:pPr>
              <w:jc w:val="center"/>
              <w:rPr>
                <w:b/>
              </w:rPr>
            </w:pPr>
            <w:r w:rsidRPr="009564E0">
              <w:rPr>
                <w:b/>
              </w:rPr>
              <w:t>2</w:t>
            </w:r>
          </w:p>
        </w:tc>
        <w:tc>
          <w:tcPr>
            <w:tcW w:w="2590" w:type="dxa"/>
            <w:vMerge/>
          </w:tcPr>
          <w:p w:rsidR="009564E0" w:rsidRPr="009564E0" w:rsidRDefault="009564E0" w:rsidP="009564E0">
            <w:pPr>
              <w:jc w:val="center"/>
            </w:pPr>
          </w:p>
        </w:tc>
      </w:tr>
      <w:tr w:rsidR="009564E0" w:rsidRPr="009564E0" w:rsidTr="0007185A">
        <w:trPr>
          <w:trHeight w:val="2762"/>
        </w:trPr>
        <w:tc>
          <w:tcPr>
            <w:tcW w:w="2590" w:type="dxa"/>
          </w:tcPr>
          <w:p w:rsidR="009564E0" w:rsidRPr="009564E0" w:rsidRDefault="009564E0" w:rsidP="009564E0">
            <w:r w:rsidRPr="009564E0">
              <w:t>1.3. Read critically, summarize, apply, analyze, and synthesize information and concepts in written and visual texts as the basis for developing original ideas and claims.</w:t>
            </w:r>
          </w:p>
        </w:tc>
        <w:tc>
          <w:tcPr>
            <w:tcW w:w="2590" w:type="dxa"/>
          </w:tcPr>
          <w:p w:rsidR="009564E0" w:rsidRPr="009564E0" w:rsidRDefault="009564E0" w:rsidP="009564E0">
            <w:r w:rsidRPr="009564E0">
              <w:t>Communicates, organizes and synthesizes</w:t>
            </w:r>
          </w:p>
          <w:p w:rsidR="009564E0" w:rsidRPr="009564E0" w:rsidRDefault="009564E0" w:rsidP="009564E0">
            <w:r w:rsidRPr="009564E0">
              <w:t>information from sources to fully achieve a</w:t>
            </w:r>
          </w:p>
          <w:p w:rsidR="009564E0" w:rsidRPr="009564E0" w:rsidRDefault="009564E0" w:rsidP="009564E0">
            <w:r w:rsidRPr="009564E0">
              <w:t>specific purpose, with clarity and depth</w:t>
            </w:r>
          </w:p>
        </w:tc>
        <w:tc>
          <w:tcPr>
            <w:tcW w:w="2590" w:type="dxa"/>
          </w:tcPr>
          <w:p w:rsidR="009564E0" w:rsidRPr="009564E0" w:rsidRDefault="009564E0" w:rsidP="009564E0">
            <w:r w:rsidRPr="009564E0">
              <w:t>Communicates, organizes and synthesizes information from sources. Intended purpose is achieved.</w:t>
            </w:r>
          </w:p>
        </w:tc>
        <w:tc>
          <w:tcPr>
            <w:tcW w:w="2590" w:type="dxa"/>
          </w:tcPr>
          <w:p w:rsidR="009564E0" w:rsidRPr="009564E0" w:rsidRDefault="009564E0" w:rsidP="009564E0">
            <w:r w:rsidRPr="009564E0">
              <w:t>Communicates and organizes information from sources. The information is not yet synthesized, so the intended purpose is not fully achieved</w:t>
            </w:r>
          </w:p>
        </w:tc>
        <w:tc>
          <w:tcPr>
            <w:tcW w:w="2590" w:type="dxa"/>
          </w:tcPr>
          <w:p w:rsidR="009564E0" w:rsidRPr="009564E0" w:rsidRDefault="009564E0" w:rsidP="009564E0">
            <w:r w:rsidRPr="009564E0">
              <w:t>Communicates information from sources. The information is fragmented and/or used</w:t>
            </w:r>
          </w:p>
          <w:p w:rsidR="009564E0" w:rsidRPr="009564E0" w:rsidRDefault="009564E0" w:rsidP="009564E0">
            <w:r w:rsidRPr="009564E0">
              <w:t>Inappropriately (misquoted, taken out of context, or incorrectly paraphrased, etc.), so the intended purpose is not achieved.</w:t>
            </w:r>
          </w:p>
        </w:tc>
      </w:tr>
      <w:tr w:rsidR="009564E0" w:rsidRPr="009564E0" w:rsidTr="0007185A">
        <w:tc>
          <w:tcPr>
            <w:tcW w:w="2590" w:type="dxa"/>
          </w:tcPr>
          <w:p w:rsidR="009564E0" w:rsidRPr="009564E0" w:rsidRDefault="009564E0" w:rsidP="009564E0">
            <w:r w:rsidRPr="009564E0">
              <w:t>1.4. Demonstrate an understanding of writing assignments as a series of tasks including identifying and evaluating useful and reliable outside sources.</w:t>
            </w:r>
          </w:p>
        </w:tc>
        <w:tc>
          <w:tcPr>
            <w:tcW w:w="2590" w:type="dxa"/>
          </w:tcPr>
          <w:p w:rsidR="009564E0" w:rsidRPr="009564E0" w:rsidRDefault="009564E0" w:rsidP="009564E0">
            <w:r w:rsidRPr="009564E0">
              <w:t>Demonstrates skillful use of high quality, credible, relevant sources to</w:t>
            </w:r>
          </w:p>
          <w:p w:rsidR="009564E0" w:rsidRPr="009564E0" w:rsidRDefault="009564E0" w:rsidP="009564E0">
            <w:r w:rsidRPr="009564E0">
              <w:t>develop ideas that are appropriate for the</w:t>
            </w:r>
          </w:p>
          <w:p w:rsidR="009564E0" w:rsidRPr="009564E0" w:rsidRDefault="009564E0" w:rsidP="009564E0">
            <w:r w:rsidRPr="009564E0">
              <w:t>discipline and genre of the writing</w:t>
            </w:r>
          </w:p>
        </w:tc>
        <w:tc>
          <w:tcPr>
            <w:tcW w:w="2590" w:type="dxa"/>
          </w:tcPr>
          <w:p w:rsidR="009564E0" w:rsidRPr="009564E0" w:rsidRDefault="009564E0" w:rsidP="009564E0">
            <w:r w:rsidRPr="009564E0">
              <w:t>Demonstrates consistent use of credible, relevant sources to support ideas that are situated within the discipline and genre of the writing.</w:t>
            </w:r>
          </w:p>
        </w:tc>
        <w:tc>
          <w:tcPr>
            <w:tcW w:w="2590" w:type="dxa"/>
          </w:tcPr>
          <w:p w:rsidR="009564E0" w:rsidRPr="009564E0" w:rsidRDefault="009564E0" w:rsidP="009564E0">
            <w:r w:rsidRPr="009564E0">
              <w:t>Demonstrates an attempt to use credible and/or relevant sources to support ideas that are appropriate for the discipline and genre of the writing</w:t>
            </w:r>
          </w:p>
        </w:tc>
        <w:tc>
          <w:tcPr>
            <w:tcW w:w="2590" w:type="dxa"/>
          </w:tcPr>
          <w:p w:rsidR="009564E0" w:rsidRPr="009564E0" w:rsidRDefault="009564E0" w:rsidP="009564E0">
            <w:r w:rsidRPr="009564E0">
              <w:t>Demonstrates an attempt to use sources to support ideas in the writing</w:t>
            </w:r>
          </w:p>
        </w:tc>
      </w:tr>
      <w:tr w:rsidR="009564E0" w:rsidRPr="009564E0" w:rsidTr="0007185A">
        <w:tc>
          <w:tcPr>
            <w:tcW w:w="2590" w:type="dxa"/>
          </w:tcPr>
          <w:p w:rsidR="009564E0" w:rsidRPr="009564E0" w:rsidRDefault="009564E0" w:rsidP="009564E0">
            <w:r w:rsidRPr="009564E0">
              <w:t>1.5. Develop, assert and support a focused thesis with appropriate reasoning and adequate evidence.</w:t>
            </w:r>
          </w:p>
          <w:p w:rsidR="009564E0" w:rsidRPr="009564E0" w:rsidRDefault="009564E0" w:rsidP="009564E0"/>
        </w:tc>
        <w:tc>
          <w:tcPr>
            <w:tcW w:w="2590" w:type="dxa"/>
          </w:tcPr>
          <w:p w:rsidR="009564E0" w:rsidRPr="009564E0" w:rsidRDefault="009564E0" w:rsidP="009564E0">
            <w:r w:rsidRPr="009564E0">
              <w:t>Uses appropriate, relevant, and compelling content to illustrate mastery of the subject, conveying the writer's understanding, and shaping the whole work.</w:t>
            </w:r>
          </w:p>
        </w:tc>
        <w:tc>
          <w:tcPr>
            <w:tcW w:w="2590" w:type="dxa"/>
          </w:tcPr>
          <w:p w:rsidR="009564E0" w:rsidRPr="009564E0" w:rsidRDefault="009564E0" w:rsidP="009564E0">
            <w:r w:rsidRPr="009564E0">
              <w:t>Uses appropriate, relevant, and compelling content to explore ideas within the context of the discipline and shape the whole work.</w:t>
            </w:r>
          </w:p>
        </w:tc>
        <w:tc>
          <w:tcPr>
            <w:tcW w:w="2590" w:type="dxa"/>
          </w:tcPr>
          <w:p w:rsidR="009564E0" w:rsidRPr="009564E0" w:rsidRDefault="009564E0" w:rsidP="009564E0">
            <w:r w:rsidRPr="009564E0">
              <w:t>Uses appropriate and relevant content to develop and explore ideas through most of the work.</w:t>
            </w:r>
          </w:p>
        </w:tc>
        <w:tc>
          <w:tcPr>
            <w:tcW w:w="2590" w:type="dxa"/>
          </w:tcPr>
          <w:p w:rsidR="009564E0" w:rsidRPr="009564E0" w:rsidRDefault="009564E0" w:rsidP="009564E0">
            <w:r w:rsidRPr="009564E0">
              <w:t>Uses appropriate and relevant content to</w:t>
            </w:r>
          </w:p>
          <w:p w:rsidR="009564E0" w:rsidRPr="009564E0" w:rsidRDefault="009564E0" w:rsidP="009564E0">
            <w:r w:rsidRPr="009564E0">
              <w:t>develop simple ideas in some parts of the work.</w:t>
            </w:r>
          </w:p>
        </w:tc>
      </w:tr>
    </w:tbl>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tbl>
      <w:tblPr>
        <w:tblStyle w:val="TableGrid1"/>
        <w:tblpPr w:leftFromText="180" w:rightFromText="180" w:vertAnchor="text" w:horzAnchor="margin" w:tblpY="-704"/>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rPr>
                <w:b/>
              </w:rPr>
            </w:pPr>
          </w:p>
        </w:tc>
        <w:tc>
          <w:tcPr>
            <w:tcW w:w="10360" w:type="dxa"/>
            <w:gridSpan w:val="4"/>
          </w:tcPr>
          <w:p w:rsidR="009564E0" w:rsidRPr="009564E0" w:rsidRDefault="009564E0" w:rsidP="009564E0">
            <w:pPr>
              <w:jc w:val="center"/>
              <w:rPr>
                <w:b/>
              </w:rPr>
            </w:pPr>
            <w:r w:rsidRPr="009564E0">
              <w:rPr>
                <w:b/>
              </w:rPr>
              <w:t>IPFW General Education Rubric (Grounded in AAC&amp;U Value Rubrics) – Written Communication</w:t>
            </w:r>
          </w:p>
        </w:tc>
      </w:tr>
      <w:tr w:rsidR="009564E0" w:rsidRPr="009564E0" w:rsidTr="0007185A">
        <w:tc>
          <w:tcPr>
            <w:tcW w:w="2590" w:type="dxa"/>
            <w:vMerge w:val="restart"/>
          </w:tcPr>
          <w:p w:rsidR="009564E0" w:rsidRPr="009564E0" w:rsidRDefault="009564E0" w:rsidP="009564E0">
            <w:r w:rsidRPr="009564E0">
              <w:rPr>
                <w:b/>
              </w:rPr>
              <w:t>IPFW General Education Student Learning Outcomes</w:t>
            </w:r>
          </w:p>
        </w:tc>
        <w:tc>
          <w:tcPr>
            <w:tcW w:w="2590" w:type="dxa"/>
            <w:vMerge w:val="restart"/>
          </w:tcPr>
          <w:p w:rsidR="009564E0" w:rsidRPr="009564E0" w:rsidRDefault="009564E0" w:rsidP="009564E0">
            <w:pPr>
              <w:jc w:val="center"/>
              <w:rPr>
                <w:b/>
              </w:rPr>
            </w:pPr>
            <w:r w:rsidRPr="009564E0">
              <w:rPr>
                <w:b/>
              </w:rPr>
              <w:t>Capstone</w:t>
            </w:r>
          </w:p>
          <w:p w:rsidR="009564E0" w:rsidRPr="009564E0" w:rsidRDefault="009564E0" w:rsidP="009564E0">
            <w:pPr>
              <w:jc w:val="center"/>
              <w:rPr>
                <w:b/>
              </w:rPr>
            </w:pPr>
            <w:r w:rsidRPr="009564E0">
              <w:rPr>
                <w:b/>
              </w:rPr>
              <w:t>4</w:t>
            </w:r>
          </w:p>
        </w:tc>
        <w:tc>
          <w:tcPr>
            <w:tcW w:w="5180" w:type="dxa"/>
            <w:gridSpan w:val="2"/>
          </w:tcPr>
          <w:p w:rsidR="009564E0" w:rsidRPr="009564E0" w:rsidRDefault="009564E0" w:rsidP="009564E0">
            <w:pPr>
              <w:jc w:val="center"/>
              <w:rPr>
                <w:b/>
              </w:rPr>
            </w:pPr>
            <w:r w:rsidRPr="009564E0">
              <w:rPr>
                <w:b/>
              </w:rPr>
              <w:t>Milestones</w:t>
            </w:r>
          </w:p>
        </w:tc>
        <w:tc>
          <w:tcPr>
            <w:tcW w:w="2590" w:type="dxa"/>
            <w:vMerge w:val="restart"/>
          </w:tcPr>
          <w:p w:rsidR="009564E0" w:rsidRPr="009564E0" w:rsidRDefault="009564E0" w:rsidP="009564E0">
            <w:pPr>
              <w:jc w:val="center"/>
              <w:rPr>
                <w:b/>
              </w:rPr>
            </w:pPr>
            <w:r w:rsidRPr="009564E0">
              <w:rPr>
                <w:b/>
              </w:rPr>
              <w:t>Benchmark</w:t>
            </w:r>
          </w:p>
          <w:p w:rsidR="009564E0" w:rsidRPr="009564E0" w:rsidRDefault="009564E0" w:rsidP="009564E0">
            <w:pPr>
              <w:jc w:val="center"/>
              <w:rPr>
                <w:b/>
              </w:rPr>
            </w:pPr>
            <w:r w:rsidRPr="009564E0">
              <w:rPr>
                <w:b/>
              </w:rPr>
              <w:t>1</w:t>
            </w:r>
          </w:p>
        </w:tc>
      </w:tr>
      <w:tr w:rsidR="009564E0" w:rsidRPr="009564E0" w:rsidTr="0007185A">
        <w:tc>
          <w:tcPr>
            <w:tcW w:w="2590" w:type="dxa"/>
            <w:vMerge/>
          </w:tcPr>
          <w:p w:rsidR="009564E0" w:rsidRPr="009564E0" w:rsidRDefault="009564E0" w:rsidP="009564E0"/>
        </w:tc>
        <w:tc>
          <w:tcPr>
            <w:tcW w:w="2590" w:type="dxa"/>
            <w:vMerge/>
          </w:tcPr>
          <w:p w:rsidR="009564E0" w:rsidRPr="009564E0" w:rsidRDefault="009564E0" w:rsidP="009564E0">
            <w:pPr>
              <w:jc w:val="center"/>
            </w:pPr>
          </w:p>
        </w:tc>
        <w:tc>
          <w:tcPr>
            <w:tcW w:w="2590" w:type="dxa"/>
          </w:tcPr>
          <w:p w:rsidR="009564E0" w:rsidRPr="009564E0" w:rsidRDefault="009564E0" w:rsidP="009564E0">
            <w:pPr>
              <w:jc w:val="center"/>
              <w:rPr>
                <w:b/>
              </w:rPr>
            </w:pPr>
            <w:r w:rsidRPr="009564E0">
              <w:rPr>
                <w:b/>
              </w:rPr>
              <w:t>3</w:t>
            </w:r>
          </w:p>
        </w:tc>
        <w:tc>
          <w:tcPr>
            <w:tcW w:w="2590" w:type="dxa"/>
          </w:tcPr>
          <w:p w:rsidR="009564E0" w:rsidRPr="009564E0" w:rsidRDefault="009564E0" w:rsidP="009564E0">
            <w:pPr>
              <w:jc w:val="center"/>
              <w:rPr>
                <w:b/>
              </w:rPr>
            </w:pPr>
            <w:r w:rsidRPr="009564E0">
              <w:rPr>
                <w:b/>
              </w:rPr>
              <w:t>2</w:t>
            </w:r>
          </w:p>
        </w:tc>
        <w:tc>
          <w:tcPr>
            <w:tcW w:w="2590" w:type="dxa"/>
            <w:vMerge/>
          </w:tcPr>
          <w:p w:rsidR="009564E0" w:rsidRPr="009564E0" w:rsidRDefault="009564E0" w:rsidP="009564E0">
            <w:pPr>
              <w:jc w:val="center"/>
            </w:pPr>
          </w:p>
        </w:tc>
      </w:tr>
      <w:tr w:rsidR="009564E0" w:rsidRPr="009564E0" w:rsidTr="0007185A">
        <w:tc>
          <w:tcPr>
            <w:tcW w:w="2590" w:type="dxa"/>
            <w:vMerge w:val="restart"/>
          </w:tcPr>
          <w:p w:rsidR="009564E0" w:rsidRPr="009564E0" w:rsidRDefault="009564E0" w:rsidP="009564E0">
            <w:r w:rsidRPr="009564E0">
              <w:t>1.6. Compose texts that exhibit appropriate rhetorical choices, which include attention to audience, purpose, context, genre, and convention.</w:t>
            </w:r>
          </w:p>
          <w:p w:rsidR="009564E0" w:rsidRPr="009564E0" w:rsidRDefault="009564E0" w:rsidP="009564E0"/>
        </w:tc>
        <w:tc>
          <w:tcPr>
            <w:tcW w:w="2590" w:type="dxa"/>
          </w:tcPr>
          <w:p w:rsidR="009564E0" w:rsidRPr="009564E0" w:rsidRDefault="009564E0" w:rsidP="009564E0">
            <w:r w:rsidRPr="009564E0">
              <w:t>Demonstrates a thorough understanding of context, audience, and purpose that is responsive to the assigned task(s) and focuses all elements of the work.</w:t>
            </w:r>
          </w:p>
        </w:tc>
        <w:tc>
          <w:tcPr>
            <w:tcW w:w="2590" w:type="dxa"/>
          </w:tcPr>
          <w:p w:rsidR="009564E0" w:rsidRPr="009564E0" w:rsidRDefault="009564E0" w:rsidP="009564E0">
            <w:r w:rsidRPr="009564E0">
              <w:t>Demonstrates adequate consideration of context, audience, and purpose and a clear focus on the assigned task(s) (e.g., the task aligns with audience, purpose, and context).</w:t>
            </w:r>
          </w:p>
        </w:tc>
        <w:tc>
          <w:tcPr>
            <w:tcW w:w="2590" w:type="dxa"/>
          </w:tcPr>
          <w:p w:rsidR="009564E0" w:rsidRPr="009564E0" w:rsidRDefault="009564E0" w:rsidP="009564E0">
            <w:r w:rsidRPr="009564E0">
              <w:t>Demonstrates awareness of context, audience, purpose, and to the assigned tasks(s) (e.g., begins to show awareness</w:t>
            </w:r>
          </w:p>
          <w:p w:rsidR="009564E0" w:rsidRPr="009564E0" w:rsidRDefault="009564E0" w:rsidP="009564E0">
            <w:r w:rsidRPr="009564E0">
              <w:t>of audience's perceptions and assumptions).</w:t>
            </w:r>
          </w:p>
        </w:tc>
        <w:tc>
          <w:tcPr>
            <w:tcW w:w="2590" w:type="dxa"/>
          </w:tcPr>
          <w:p w:rsidR="009564E0" w:rsidRPr="009564E0" w:rsidRDefault="009564E0" w:rsidP="009564E0">
            <w:r w:rsidRPr="009564E0">
              <w:t>Demonstrates minimal attention to context, audience, purpose, and to the assigned tasks(s) (e.g., expectation of instructor or self as audience).</w:t>
            </w:r>
          </w:p>
        </w:tc>
      </w:tr>
      <w:tr w:rsidR="009564E0" w:rsidRPr="009564E0" w:rsidTr="0007185A">
        <w:tc>
          <w:tcPr>
            <w:tcW w:w="2590" w:type="dxa"/>
            <w:vMerge/>
          </w:tcPr>
          <w:p w:rsidR="009564E0" w:rsidRPr="009564E0" w:rsidRDefault="009564E0" w:rsidP="009564E0"/>
        </w:tc>
        <w:tc>
          <w:tcPr>
            <w:tcW w:w="2590" w:type="dxa"/>
          </w:tcPr>
          <w:p w:rsidR="009564E0" w:rsidRPr="009564E0" w:rsidRDefault="009564E0" w:rsidP="009564E0">
            <w:r w:rsidRPr="009564E0">
              <w:t>Demonstrates detailed attention to and successful execution of a wide range of conventions particular to a specific</w:t>
            </w:r>
          </w:p>
          <w:p w:rsidR="009564E0" w:rsidRPr="009564E0" w:rsidRDefault="009564E0" w:rsidP="009564E0">
            <w:r w:rsidRPr="009564E0">
              <w:t>discipline and/or writing task (s) including organization, content,</w:t>
            </w:r>
          </w:p>
          <w:p w:rsidR="009564E0" w:rsidRPr="009564E0" w:rsidRDefault="009564E0" w:rsidP="009564E0">
            <w:r w:rsidRPr="009564E0">
              <w:t>presentation, formatting, and stylistic choices</w:t>
            </w:r>
          </w:p>
        </w:tc>
        <w:tc>
          <w:tcPr>
            <w:tcW w:w="2590" w:type="dxa"/>
          </w:tcPr>
          <w:p w:rsidR="009564E0" w:rsidRPr="009564E0" w:rsidRDefault="009564E0" w:rsidP="009564E0">
            <w:r w:rsidRPr="009564E0">
              <w:t>Demonstrates consistent use of</w:t>
            </w:r>
          </w:p>
          <w:p w:rsidR="009564E0" w:rsidRPr="009564E0" w:rsidRDefault="009564E0" w:rsidP="009564E0">
            <w:r w:rsidRPr="009564E0">
              <w:t>important conventions particular to a</w:t>
            </w:r>
          </w:p>
          <w:p w:rsidR="009564E0" w:rsidRPr="009564E0" w:rsidRDefault="009564E0" w:rsidP="009564E0">
            <w:r w:rsidRPr="009564E0">
              <w:t>specific discipline and/or writing task(s),</w:t>
            </w:r>
          </w:p>
          <w:p w:rsidR="009564E0" w:rsidRPr="009564E0" w:rsidRDefault="009564E0" w:rsidP="009564E0">
            <w:r w:rsidRPr="009564E0">
              <w:t>including organization, content,</w:t>
            </w:r>
          </w:p>
          <w:p w:rsidR="009564E0" w:rsidRPr="009564E0" w:rsidRDefault="009564E0" w:rsidP="009564E0">
            <w:r w:rsidRPr="009564E0">
              <w:t>presentation, and stylistic choices</w:t>
            </w:r>
          </w:p>
        </w:tc>
        <w:tc>
          <w:tcPr>
            <w:tcW w:w="2590" w:type="dxa"/>
          </w:tcPr>
          <w:p w:rsidR="009564E0" w:rsidRPr="009564E0" w:rsidRDefault="009564E0" w:rsidP="009564E0">
            <w:r w:rsidRPr="009564E0">
              <w:t>Follows expectations appropriate to a</w:t>
            </w:r>
          </w:p>
          <w:p w:rsidR="009564E0" w:rsidRPr="009564E0" w:rsidRDefault="009564E0" w:rsidP="009564E0">
            <w:r w:rsidRPr="009564E0">
              <w:t>specific discipline and/or writing task(s)</w:t>
            </w:r>
          </w:p>
          <w:p w:rsidR="009564E0" w:rsidRPr="009564E0" w:rsidRDefault="009564E0" w:rsidP="009564E0">
            <w:r w:rsidRPr="009564E0">
              <w:t>for basic organization, content, and</w:t>
            </w:r>
          </w:p>
          <w:p w:rsidR="009564E0" w:rsidRPr="009564E0" w:rsidRDefault="009564E0" w:rsidP="009564E0">
            <w:r w:rsidRPr="009564E0">
              <w:t>presentation</w:t>
            </w:r>
          </w:p>
        </w:tc>
        <w:tc>
          <w:tcPr>
            <w:tcW w:w="2590" w:type="dxa"/>
          </w:tcPr>
          <w:p w:rsidR="009564E0" w:rsidRPr="009564E0" w:rsidRDefault="009564E0" w:rsidP="009564E0">
            <w:r w:rsidRPr="009564E0">
              <w:t>Attempts to use a consistent system for</w:t>
            </w:r>
          </w:p>
          <w:p w:rsidR="009564E0" w:rsidRPr="009564E0" w:rsidRDefault="009564E0" w:rsidP="009564E0">
            <w:r w:rsidRPr="009564E0">
              <w:t>basic organization and presentation.</w:t>
            </w:r>
          </w:p>
        </w:tc>
      </w:tr>
    </w:tbl>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r w:rsidRPr="009564E0">
        <w:rPr>
          <w:rFonts w:asciiTheme="minorHAnsi" w:hAnsiTheme="minorHAnsi" w:cstheme="minorBidi"/>
          <w:sz w:val="22"/>
          <w:szCs w:val="22"/>
        </w:rPr>
        <w:br w:type="page"/>
      </w:r>
    </w:p>
    <w:tbl>
      <w:tblPr>
        <w:tblStyle w:val="TableGrid1"/>
        <w:tblpPr w:leftFromText="180" w:rightFromText="180" w:vertAnchor="text" w:horzAnchor="margin" w:tblpY="301"/>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rPr>
                <w:b/>
              </w:rPr>
            </w:pPr>
          </w:p>
        </w:tc>
        <w:tc>
          <w:tcPr>
            <w:tcW w:w="10360" w:type="dxa"/>
            <w:gridSpan w:val="4"/>
          </w:tcPr>
          <w:p w:rsidR="009564E0" w:rsidRPr="009564E0" w:rsidRDefault="009564E0" w:rsidP="009564E0">
            <w:pPr>
              <w:jc w:val="center"/>
              <w:rPr>
                <w:b/>
              </w:rPr>
            </w:pPr>
            <w:r w:rsidRPr="009564E0">
              <w:rPr>
                <w:b/>
              </w:rPr>
              <w:t>IPFW General Education Rubric (Grounded in AAC&amp;U Value Rubrics) – Written Communication</w:t>
            </w:r>
          </w:p>
        </w:tc>
      </w:tr>
      <w:tr w:rsidR="009564E0" w:rsidRPr="009564E0" w:rsidTr="0007185A">
        <w:tc>
          <w:tcPr>
            <w:tcW w:w="2590" w:type="dxa"/>
            <w:vMerge w:val="restart"/>
          </w:tcPr>
          <w:p w:rsidR="009564E0" w:rsidRPr="009564E0" w:rsidRDefault="009564E0" w:rsidP="009564E0">
            <w:r w:rsidRPr="009564E0">
              <w:rPr>
                <w:b/>
              </w:rPr>
              <w:t>IPFW General Education Student Learning Outcomes</w:t>
            </w:r>
          </w:p>
        </w:tc>
        <w:tc>
          <w:tcPr>
            <w:tcW w:w="2590" w:type="dxa"/>
            <w:vMerge w:val="restart"/>
          </w:tcPr>
          <w:p w:rsidR="009564E0" w:rsidRPr="009564E0" w:rsidRDefault="009564E0" w:rsidP="009564E0">
            <w:pPr>
              <w:jc w:val="center"/>
              <w:rPr>
                <w:b/>
              </w:rPr>
            </w:pPr>
            <w:r w:rsidRPr="009564E0">
              <w:rPr>
                <w:b/>
              </w:rPr>
              <w:t>Capstone</w:t>
            </w:r>
          </w:p>
          <w:p w:rsidR="009564E0" w:rsidRPr="009564E0" w:rsidRDefault="009564E0" w:rsidP="009564E0">
            <w:pPr>
              <w:jc w:val="center"/>
              <w:rPr>
                <w:b/>
              </w:rPr>
            </w:pPr>
            <w:r w:rsidRPr="009564E0">
              <w:rPr>
                <w:b/>
              </w:rPr>
              <w:t>4</w:t>
            </w:r>
          </w:p>
        </w:tc>
        <w:tc>
          <w:tcPr>
            <w:tcW w:w="5180" w:type="dxa"/>
            <w:gridSpan w:val="2"/>
          </w:tcPr>
          <w:p w:rsidR="009564E0" w:rsidRPr="009564E0" w:rsidRDefault="009564E0" w:rsidP="009564E0">
            <w:pPr>
              <w:jc w:val="center"/>
              <w:rPr>
                <w:b/>
              </w:rPr>
            </w:pPr>
            <w:r w:rsidRPr="009564E0">
              <w:rPr>
                <w:b/>
              </w:rPr>
              <w:t>Milestones</w:t>
            </w:r>
          </w:p>
        </w:tc>
        <w:tc>
          <w:tcPr>
            <w:tcW w:w="2590" w:type="dxa"/>
            <w:vMerge w:val="restart"/>
          </w:tcPr>
          <w:p w:rsidR="009564E0" w:rsidRPr="009564E0" w:rsidRDefault="009564E0" w:rsidP="009564E0">
            <w:pPr>
              <w:jc w:val="center"/>
              <w:rPr>
                <w:b/>
              </w:rPr>
            </w:pPr>
            <w:r w:rsidRPr="009564E0">
              <w:rPr>
                <w:b/>
              </w:rPr>
              <w:t>Benchmark</w:t>
            </w:r>
          </w:p>
          <w:p w:rsidR="009564E0" w:rsidRPr="009564E0" w:rsidRDefault="009564E0" w:rsidP="009564E0">
            <w:pPr>
              <w:jc w:val="center"/>
              <w:rPr>
                <w:b/>
              </w:rPr>
            </w:pPr>
            <w:r w:rsidRPr="009564E0">
              <w:rPr>
                <w:b/>
              </w:rPr>
              <w:t>1</w:t>
            </w:r>
          </w:p>
        </w:tc>
      </w:tr>
      <w:tr w:rsidR="009564E0" w:rsidRPr="009564E0" w:rsidTr="0007185A">
        <w:tc>
          <w:tcPr>
            <w:tcW w:w="2590" w:type="dxa"/>
            <w:vMerge/>
          </w:tcPr>
          <w:p w:rsidR="009564E0" w:rsidRPr="009564E0" w:rsidRDefault="009564E0" w:rsidP="009564E0"/>
        </w:tc>
        <w:tc>
          <w:tcPr>
            <w:tcW w:w="2590" w:type="dxa"/>
            <w:vMerge/>
          </w:tcPr>
          <w:p w:rsidR="009564E0" w:rsidRPr="009564E0" w:rsidRDefault="009564E0" w:rsidP="009564E0">
            <w:pPr>
              <w:jc w:val="center"/>
            </w:pPr>
          </w:p>
        </w:tc>
        <w:tc>
          <w:tcPr>
            <w:tcW w:w="2590" w:type="dxa"/>
          </w:tcPr>
          <w:p w:rsidR="009564E0" w:rsidRPr="009564E0" w:rsidRDefault="009564E0" w:rsidP="009564E0">
            <w:pPr>
              <w:jc w:val="center"/>
              <w:rPr>
                <w:b/>
              </w:rPr>
            </w:pPr>
            <w:r w:rsidRPr="009564E0">
              <w:rPr>
                <w:b/>
              </w:rPr>
              <w:t>3</w:t>
            </w:r>
          </w:p>
        </w:tc>
        <w:tc>
          <w:tcPr>
            <w:tcW w:w="2590" w:type="dxa"/>
          </w:tcPr>
          <w:p w:rsidR="009564E0" w:rsidRPr="009564E0" w:rsidRDefault="009564E0" w:rsidP="009564E0">
            <w:pPr>
              <w:jc w:val="center"/>
              <w:rPr>
                <w:b/>
              </w:rPr>
            </w:pPr>
            <w:r w:rsidRPr="009564E0">
              <w:rPr>
                <w:b/>
              </w:rPr>
              <w:t>2</w:t>
            </w:r>
          </w:p>
        </w:tc>
        <w:tc>
          <w:tcPr>
            <w:tcW w:w="2590" w:type="dxa"/>
            <w:vMerge/>
          </w:tcPr>
          <w:p w:rsidR="009564E0" w:rsidRPr="009564E0" w:rsidRDefault="009564E0" w:rsidP="009564E0">
            <w:pPr>
              <w:jc w:val="center"/>
            </w:pPr>
          </w:p>
        </w:tc>
      </w:tr>
      <w:tr w:rsidR="009564E0" w:rsidRPr="009564E0" w:rsidTr="0007185A">
        <w:trPr>
          <w:trHeight w:val="3665"/>
        </w:trPr>
        <w:tc>
          <w:tcPr>
            <w:tcW w:w="2590" w:type="dxa"/>
            <w:vMerge w:val="restart"/>
          </w:tcPr>
          <w:p w:rsidR="009564E0" w:rsidRPr="009564E0" w:rsidRDefault="009564E0" w:rsidP="009564E0">
            <w:r w:rsidRPr="009564E0">
              <w:t>1.7. Demonstrate proficiency in reading, evaluating, analyzing, and using material collected from electronic sources (such as visual, electronic, library databases, Internet sources, other official databases, federal government databases, reputable blogs, wikis, etc.).</w:t>
            </w:r>
          </w:p>
          <w:p w:rsidR="009564E0" w:rsidRPr="009564E0" w:rsidRDefault="009564E0" w:rsidP="009564E0"/>
        </w:tc>
        <w:tc>
          <w:tcPr>
            <w:tcW w:w="2590" w:type="dxa"/>
          </w:tcPr>
          <w:p w:rsidR="009564E0" w:rsidRPr="009564E0" w:rsidRDefault="009564E0" w:rsidP="009564E0">
            <w:r w:rsidRPr="009564E0">
              <w:t>Accesses information using effective, well designed search strategies and most appropriate information sources.</w:t>
            </w:r>
          </w:p>
        </w:tc>
        <w:tc>
          <w:tcPr>
            <w:tcW w:w="2590" w:type="dxa"/>
          </w:tcPr>
          <w:p w:rsidR="009564E0" w:rsidRPr="009564E0" w:rsidRDefault="009564E0" w:rsidP="009564E0">
            <w:r w:rsidRPr="009564E0">
              <w:t>Accesses information using variety of search strategies and some relevant information sources. Demonstrates ability to refine search.</w:t>
            </w:r>
          </w:p>
        </w:tc>
        <w:tc>
          <w:tcPr>
            <w:tcW w:w="2590" w:type="dxa"/>
          </w:tcPr>
          <w:p w:rsidR="009564E0" w:rsidRPr="009564E0" w:rsidRDefault="009564E0" w:rsidP="009564E0">
            <w:r w:rsidRPr="009564E0">
              <w:t>Accesses information using simple search strategies, retrieves information from limited and similar sources.</w:t>
            </w:r>
          </w:p>
        </w:tc>
        <w:tc>
          <w:tcPr>
            <w:tcW w:w="2590" w:type="dxa"/>
          </w:tcPr>
          <w:p w:rsidR="009564E0" w:rsidRPr="009564E0" w:rsidRDefault="009564E0" w:rsidP="009564E0">
            <w:r w:rsidRPr="009564E0">
              <w:t>Accesses information randomly, retrieves information that lacks relevance and quality.</w:t>
            </w:r>
          </w:p>
        </w:tc>
      </w:tr>
      <w:tr w:rsidR="009564E0" w:rsidRPr="009564E0" w:rsidTr="0007185A">
        <w:tc>
          <w:tcPr>
            <w:tcW w:w="2590" w:type="dxa"/>
            <w:vMerge/>
          </w:tcPr>
          <w:p w:rsidR="009564E0" w:rsidRPr="009564E0" w:rsidRDefault="009564E0" w:rsidP="009564E0"/>
        </w:tc>
        <w:tc>
          <w:tcPr>
            <w:tcW w:w="2590" w:type="dxa"/>
          </w:tcPr>
          <w:p w:rsidR="009564E0" w:rsidRPr="009564E0" w:rsidRDefault="009564E0" w:rsidP="009564E0">
            <w:r w:rsidRPr="009564E0">
              <w:t>Chooses a variety of information sources appropriate to the scope and discipline of the research question. Selects sources after considering the importance (to the researched topic) of the multiple criteria used (such as relevance to the research question, currency, authority, audience, and bias or point of view).</w:t>
            </w:r>
          </w:p>
        </w:tc>
        <w:tc>
          <w:tcPr>
            <w:tcW w:w="2590" w:type="dxa"/>
          </w:tcPr>
          <w:p w:rsidR="009564E0" w:rsidRPr="009564E0" w:rsidRDefault="009564E0" w:rsidP="009564E0">
            <w:r w:rsidRPr="009564E0">
              <w:t>Chooses a variety of information sources appropriate to the scope and discipline of the research question. Selects sources using multiple criteria (such as relevance to the research question, currency, and authority).</w:t>
            </w:r>
          </w:p>
        </w:tc>
        <w:tc>
          <w:tcPr>
            <w:tcW w:w="2590" w:type="dxa"/>
          </w:tcPr>
          <w:p w:rsidR="009564E0" w:rsidRPr="009564E0" w:rsidRDefault="009564E0" w:rsidP="009564E0">
            <w:r w:rsidRPr="009564E0">
              <w:t>Chooses a variety of information sources.</w:t>
            </w:r>
          </w:p>
          <w:p w:rsidR="009564E0" w:rsidRPr="009564E0" w:rsidRDefault="009564E0" w:rsidP="009564E0">
            <w:r w:rsidRPr="009564E0">
              <w:t>Selects sources using basic criteria (such as relevance to the research question and currency).</w:t>
            </w:r>
          </w:p>
        </w:tc>
        <w:tc>
          <w:tcPr>
            <w:tcW w:w="2590" w:type="dxa"/>
          </w:tcPr>
          <w:p w:rsidR="009564E0" w:rsidRPr="009564E0" w:rsidRDefault="009564E0" w:rsidP="009564E0">
            <w:r w:rsidRPr="009564E0">
              <w:t>Chooses a few information sources. Selects sources using limited criteria (such as relevance to the research question).</w:t>
            </w:r>
          </w:p>
        </w:tc>
      </w:tr>
    </w:tbl>
    <w:p w:rsidR="009564E0" w:rsidRPr="009564E0" w:rsidRDefault="00603F48" w:rsidP="009564E0">
      <w:pPr>
        <w:rPr>
          <w:rFonts w:asciiTheme="minorHAnsi" w:hAnsiTheme="minorHAnsi" w:cstheme="minorBidi"/>
          <w:sz w:val="22"/>
          <w:szCs w:val="22"/>
        </w:rPr>
      </w:pPr>
      <w:r>
        <w:rPr>
          <w:rFonts w:asciiTheme="minorHAnsi" w:hAnsiTheme="minorHAnsi" w:cstheme="minorBidi"/>
          <w:sz w:val="22"/>
          <w:szCs w:val="22"/>
        </w:rPr>
        <w:t>To</w:t>
      </w:r>
    </w:p>
    <w:p w:rsidR="009564E0" w:rsidRPr="009564E0" w:rsidRDefault="009564E0" w:rsidP="009564E0">
      <w:pPr>
        <w:rPr>
          <w:rFonts w:asciiTheme="minorHAnsi" w:hAnsiTheme="minorHAnsi" w:cstheme="minorBidi"/>
          <w:sz w:val="22"/>
          <w:szCs w:val="22"/>
        </w:rPr>
      </w:pPr>
    </w:p>
    <w:tbl>
      <w:tblPr>
        <w:tblStyle w:val="TableGrid1"/>
        <w:tblpPr w:leftFromText="180" w:rightFromText="180" w:vertAnchor="text" w:horzAnchor="margin" w:tblpY="76"/>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spacing w:after="160" w:line="259" w:lineRule="auto"/>
              <w:rPr>
                <w:b/>
              </w:rPr>
            </w:pPr>
          </w:p>
        </w:tc>
        <w:tc>
          <w:tcPr>
            <w:tcW w:w="10360" w:type="dxa"/>
            <w:gridSpan w:val="4"/>
          </w:tcPr>
          <w:p w:rsidR="009564E0" w:rsidRPr="009564E0" w:rsidRDefault="009564E0" w:rsidP="009564E0">
            <w:pPr>
              <w:spacing w:after="160" w:line="259" w:lineRule="auto"/>
              <w:rPr>
                <w:b/>
              </w:rPr>
            </w:pPr>
            <w:r w:rsidRPr="009564E0">
              <w:rPr>
                <w:b/>
              </w:rPr>
              <w:t>IPFW General Education Rubric (Grounded in AAC&amp;U Value Rubrics) – Oral Communication</w:t>
            </w:r>
          </w:p>
        </w:tc>
      </w:tr>
      <w:tr w:rsidR="009564E0" w:rsidRPr="009564E0" w:rsidTr="0007185A">
        <w:tc>
          <w:tcPr>
            <w:tcW w:w="2590" w:type="dxa"/>
            <w:vMerge w:val="restart"/>
          </w:tcPr>
          <w:p w:rsidR="009564E0" w:rsidRPr="009564E0" w:rsidRDefault="009564E0" w:rsidP="009564E0">
            <w:pPr>
              <w:spacing w:after="160" w:line="259" w:lineRule="auto"/>
            </w:pPr>
            <w:r w:rsidRPr="009564E0">
              <w:rPr>
                <w:b/>
              </w:rPr>
              <w:t>IPFW General Education Student Learning Outcomes</w:t>
            </w:r>
          </w:p>
        </w:tc>
        <w:tc>
          <w:tcPr>
            <w:tcW w:w="2590" w:type="dxa"/>
            <w:vMerge w:val="restart"/>
          </w:tcPr>
          <w:p w:rsidR="009564E0" w:rsidRPr="009564E0" w:rsidRDefault="009564E0" w:rsidP="009564E0">
            <w:pPr>
              <w:spacing w:after="160" w:line="259" w:lineRule="auto"/>
              <w:jc w:val="center"/>
              <w:rPr>
                <w:b/>
              </w:rPr>
            </w:pPr>
            <w:r w:rsidRPr="009564E0">
              <w:rPr>
                <w:b/>
              </w:rPr>
              <w:t>Capstone</w:t>
            </w:r>
          </w:p>
          <w:p w:rsidR="009564E0" w:rsidRPr="009564E0" w:rsidRDefault="009564E0" w:rsidP="009564E0">
            <w:pPr>
              <w:spacing w:after="160" w:line="259" w:lineRule="auto"/>
              <w:jc w:val="center"/>
              <w:rPr>
                <w:b/>
              </w:rPr>
            </w:pPr>
            <w:r w:rsidRPr="009564E0">
              <w:rPr>
                <w:b/>
              </w:rPr>
              <w:t>4</w:t>
            </w:r>
          </w:p>
        </w:tc>
        <w:tc>
          <w:tcPr>
            <w:tcW w:w="5180" w:type="dxa"/>
            <w:gridSpan w:val="2"/>
          </w:tcPr>
          <w:p w:rsidR="009564E0" w:rsidRPr="009564E0" w:rsidRDefault="009564E0" w:rsidP="009564E0">
            <w:pPr>
              <w:spacing w:after="160" w:line="259" w:lineRule="auto"/>
              <w:jc w:val="center"/>
              <w:rPr>
                <w:b/>
              </w:rPr>
            </w:pPr>
            <w:r w:rsidRPr="009564E0">
              <w:rPr>
                <w:b/>
              </w:rPr>
              <w:t>Milestones</w:t>
            </w:r>
          </w:p>
        </w:tc>
        <w:tc>
          <w:tcPr>
            <w:tcW w:w="2590" w:type="dxa"/>
            <w:vMerge w:val="restart"/>
          </w:tcPr>
          <w:p w:rsidR="009564E0" w:rsidRPr="009564E0" w:rsidRDefault="009564E0" w:rsidP="009564E0">
            <w:pPr>
              <w:spacing w:after="160" w:line="259" w:lineRule="auto"/>
              <w:jc w:val="center"/>
              <w:rPr>
                <w:b/>
              </w:rPr>
            </w:pPr>
            <w:r w:rsidRPr="009564E0">
              <w:rPr>
                <w:b/>
              </w:rPr>
              <w:t>Benchmark</w:t>
            </w:r>
          </w:p>
          <w:p w:rsidR="009564E0" w:rsidRPr="009564E0" w:rsidRDefault="009564E0" w:rsidP="009564E0">
            <w:pPr>
              <w:spacing w:after="160" w:line="259" w:lineRule="auto"/>
              <w:jc w:val="center"/>
              <w:rPr>
                <w:b/>
              </w:rPr>
            </w:pPr>
            <w:r w:rsidRPr="009564E0">
              <w:rPr>
                <w:b/>
              </w:rPr>
              <w:t>1</w:t>
            </w:r>
          </w:p>
        </w:tc>
      </w:tr>
      <w:tr w:rsidR="009564E0" w:rsidRPr="009564E0" w:rsidTr="0007185A">
        <w:tc>
          <w:tcPr>
            <w:tcW w:w="2590" w:type="dxa"/>
            <w:vMerge/>
          </w:tcPr>
          <w:p w:rsidR="009564E0" w:rsidRPr="009564E0" w:rsidRDefault="009564E0" w:rsidP="009564E0">
            <w:pPr>
              <w:spacing w:after="160" w:line="259" w:lineRule="auto"/>
            </w:pPr>
          </w:p>
        </w:tc>
        <w:tc>
          <w:tcPr>
            <w:tcW w:w="2590" w:type="dxa"/>
            <w:vMerge/>
          </w:tcPr>
          <w:p w:rsidR="009564E0" w:rsidRPr="009564E0" w:rsidRDefault="009564E0" w:rsidP="009564E0">
            <w:pPr>
              <w:spacing w:after="160" w:line="259" w:lineRule="auto"/>
            </w:pPr>
          </w:p>
        </w:tc>
        <w:tc>
          <w:tcPr>
            <w:tcW w:w="2590" w:type="dxa"/>
          </w:tcPr>
          <w:p w:rsidR="009564E0" w:rsidRPr="009564E0" w:rsidRDefault="009564E0" w:rsidP="009564E0">
            <w:pPr>
              <w:spacing w:after="160" w:line="259" w:lineRule="auto"/>
              <w:jc w:val="center"/>
              <w:rPr>
                <w:b/>
              </w:rPr>
            </w:pPr>
            <w:r w:rsidRPr="009564E0">
              <w:rPr>
                <w:b/>
              </w:rPr>
              <w:t>3</w:t>
            </w:r>
          </w:p>
        </w:tc>
        <w:tc>
          <w:tcPr>
            <w:tcW w:w="2590" w:type="dxa"/>
          </w:tcPr>
          <w:p w:rsidR="009564E0" w:rsidRPr="009564E0" w:rsidRDefault="009564E0" w:rsidP="009564E0">
            <w:pPr>
              <w:spacing w:after="160" w:line="259" w:lineRule="auto"/>
              <w:jc w:val="center"/>
              <w:rPr>
                <w:b/>
              </w:rPr>
            </w:pPr>
            <w:r w:rsidRPr="009564E0">
              <w:rPr>
                <w:b/>
              </w:rPr>
              <w:t>2</w:t>
            </w:r>
          </w:p>
        </w:tc>
        <w:tc>
          <w:tcPr>
            <w:tcW w:w="2590" w:type="dxa"/>
            <w:vMerge/>
          </w:tcPr>
          <w:p w:rsidR="009564E0" w:rsidRPr="009564E0" w:rsidRDefault="009564E0" w:rsidP="009564E0">
            <w:pPr>
              <w:spacing w:after="160" w:line="259" w:lineRule="auto"/>
            </w:pPr>
          </w:p>
        </w:tc>
      </w:tr>
      <w:tr w:rsidR="009564E0" w:rsidRPr="009564E0" w:rsidTr="0007185A">
        <w:tc>
          <w:tcPr>
            <w:tcW w:w="2590" w:type="dxa"/>
          </w:tcPr>
          <w:p w:rsidR="009564E0" w:rsidRPr="009564E0" w:rsidRDefault="009564E0" w:rsidP="009564E0">
            <w:pPr>
              <w:spacing w:after="160" w:line="259" w:lineRule="auto"/>
            </w:pPr>
            <w:r w:rsidRPr="009564E0">
              <w:t>2.1 Use appropriate organization or logical sequencing to deliver an oral message.</w:t>
            </w:r>
          </w:p>
        </w:tc>
        <w:tc>
          <w:tcPr>
            <w:tcW w:w="2590" w:type="dxa"/>
          </w:tcPr>
          <w:p w:rsidR="009564E0" w:rsidRPr="009564E0" w:rsidRDefault="009564E0" w:rsidP="009564E0">
            <w:r w:rsidRPr="009564E0">
              <w:t>Organizational pattern (specific introduction and conclusion, sequenced material within the body, and transitions) is clearly and consistently observable and is skillful and makes the content of the presentation cohesive.</w:t>
            </w:r>
          </w:p>
        </w:tc>
        <w:tc>
          <w:tcPr>
            <w:tcW w:w="2590" w:type="dxa"/>
          </w:tcPr>
          <w:p w:rsidR="009564E0" w:rsidRPr="009564E0" w:rsidRDefault="009564E0" w:rsidP="009564E0">
            <w:r w:rsidRPr="009564E0">
              <w:t>Organizational pattern (specific introduction and conclusion, sequenced material within the body, and transitions) is clearly and consistently observable within the presentation.</w:t>
            </w:r>
          </w:p>
        </w:tc>
        <w:tc>
          <w:tcPr>
            <w:tcW w:w="2590" w:type="dxa"/>
          </w:tcPr>
          <w:p w:rsidR="009564E0" w:rsidRPr="009564E0" w:rsidRDefault="009564E0" w:rsidP="009564E0">
            <w:r w:rsidRPr="009564E0">
              <w:t>Organizational pattern (specific introduction and conclusion, sequenced material within the body, and transitions) is intermittently observable within the presentation.</w:t>
            </w:r>
          </w:p>
        </w:tc>
        <w:tc>
          <w:tcPr>
            <w:tcW w:w="2590" w:type="dxa"/>
          </w:tcPr>
          <w:p w:rsidR="009564E0" w:rsidRPr="009564E0" w:rsidRDefault="009564E0" w:rsidP="009564E0">
            <w:r w:rsidRPr="009564E0">
              <w:t>Organizational pattern (specific introduction and conclusion, sequenced material within the body, and transitions) is not observable within the presentation</w:t>
            </w:r>
          </w:p>
        </w:tc>
      </w:tr>
      <w:tr w:rsidR="009564E0" w:rsidRPr="009564E0" w:rsidTr="0007185A">
        <w:tc>
          <w:tcPr>
            <w:tcW w:w="2590" w:type="dxa"/>
          </w:tcPr>
          <w:p w:rsidR="009564E0" w:rsidRPr="009564E0" w:rsidRDefault="009564E0" w:rsidP="009564E0">
            <w:r w:rsidRPr="009564E0">
              <w:t xml:space="preserve">2.2 Adapt an oral message for diverse audiences, contexts, and communication </w:t>
            </w:r>
            <w:commentRangeStart w:id="2"/>
            <w:r w:rsidRPr="009564E0">
              <w:t>channels</w:t>
            </w:r>
            <w:commentRangeEnd w:id="2"/>
            <w:r w:rsidRPr="009564E0">
              <w:rPr>
                <w:sz w:val="16"/>
                <w:szCs w:val="16"/>
              </w:rPr>
              <w:commentReference w:id="2"/>
            </w:r>
            <w:r w:rsidRPr="009564E0">
              <w:t>.</w:t>
            </w:r>
          </w:p>
        </w:tc>
        <w:tc>
          <w:tcPr>
            <w:tcW w:w="2590" w:type="dxa"/>
          </w:tcPr>
          <w:p w:rsidR="009564E0" w:rsidRPr="009564E0" w:rsidRDefault="009564E0" w:rsidP="009564E0">
            <w:r w:rsidRPr="009564E0">
              <w:t>Language choices are imaginative, memorable, and compelling, and enhance the effectiveness of the presentation.</w:t>
            </w:r>
          </w:p>
          <w:p w:rsidR="009564E0" w:rsidRPr="009564E0" w:rsidRDefault="009564E0" w:rsidP="009564E0">
            <w:r w:rsidRPr="009564E0">
              <w:t>Language in presentation is appropriate to audience.</w:t>
            </w:r>
          </w:p>
        </w:tc>
        <w:tc>
          <w:tcPr>
            <w:tcW w:w="2590" w:type="dxa"/>
          </w:tcPr>
          <w:p w:rsidR="009564E0" w:rsidRPr="009564E0" w:rsidRDefault="009564E0" w:rsidP="009564E0">
            <w:r w:rsidRPr="009564E0">
              <w:t>Language choices are thoughtful and generally support the effectiveness of the presentation. Language in presentation is appropriate to audience.</w:t>
            </w:r>
          </w:p>
        </w:tc>
        <w:tc>
          <w:tcPr>
            <w:tcW w:w="2590" w:type="dxa"/>
          </w:tcPr>
          <w:p w:rsidR="009564E0" w:rsidRPr="009564E0" w:rsidRDefault="009564E0" w:rsidP="009564E0">
            <w:r w:rsidRPr="009564E0">
              <w:t>Language choices are mundane and commonplace and partially support the effectiveness of the presentation. Language in presentation is appropriate to audience.</w:t>
            </w:r>
          </w:p>
        </w:tc>
        <w:tc>
          <w:tcPr>
            <w:tcW w:w="2590" w:type="dxa"/>
          </w:tcPr>
          <w:p w:rsidR="009564E0" w:rsidRPr="009564E0" w:rsidRDefault="009564E0" w:rsidP="009564E0">
            <w:r w:rsidRPr="009564E0">
              <w:t>Language choices are unclear and minimally support the effectiveness of the presentation. Language in presentation is not appropriate to audience.</w:t>
            </w:r>
          </w:p>
        </w:tc>
      </w:tr>
      <w:tr w:rsidR="009564E0" w:rsidRPr="009564E0" w:rsidTr="0007185A">
        <w:tc>
          <w:tcPr>
            <w:tcW w:w="2590" w:type="dxa"/>
          </w:tcPr>
          <w:p w:rsidR="009564E0" w:rsidRPr="009564E0" w:rsidRDefault="009564E0" w:rsidP="009564E0">
            <w:r w:rsidRPr="009564E0">
              <w:t>2.3 Identify and demonstrate appropriate oral and nonverbal communication practices.</w:t>
            </w:r>
          </w:p>
        </w:tc>
        <w:tc>
          <w:tcPr>
            <w:tcW w:w="2590" w:type="dxa"/>
          </w:tcPr>
          <w:p w:rsidR="009564E0" w:rsidRPr="009564E0" w:rsidRDefault="009564E0" w:rsidP="009564E0">
            <w:r w:rsidRPr="009564E0">
              <w:t>Delivery techniques (posture, gesture, eye contact, and vocal expressiveness) make the presentation compelling, and speaker appears polished and confident.</w:t>
            </w:r>
          </w:p>
        </w:tc>
        <w:tc>
          <w:tcPr>
            <w:tcW w:w="2590" w:type="dxa"/>
          </w:tcPr>
          <w:p w:rsidR="009564E0" w:rsidRPr="009564E0" w:rsidRDefault="009564E0" w:rsidP="009564E0">
            <w:r w:rsidRPr="009564E0">
              <w:t>Delivery techniques (posture, gesture, eye contact, and vocal expressiveness) make the presentation interesting, and speaker appears comfortable.</w:t>
            </w:r>
          </w:p>
        </w:tc>
        <w:tc>
          <w:tcPr>
            <w:tcW w:w="2590" w:type="dxa"/>
          </w:tcPr>
          <w:p w:rsidR="009564E0" w:rsidRPr="009564E0" w:rsidRDefault="009564E0" w:rsidP="009564E0">
            <w:r w:rsidRPr="009564E0">
              <w:t>Delivery techniques (posture, gesture, eye</w:t>
            </w:r>
          </w:p>
          <w:p w:rsidR="009564E0" w:rsidRPr="009564E0" w:rsidRDefault="009564E0" w:rsidP="009564E0">
            <w:r w:rsidRPr="009564E0">
              <w:t>contact, and vocal expressiveness) make</w:t>
            </w:r>
          </w:p>
          <w:p w:rsidR="009564E0" w:rsidRPr="009564E0" w:rsidRDefault="009564E0" w:rsidP="009564E0">
            <w:r w:rsidRPr="009564E0">
              <w:t>the presentation understandable, and speaker appears tentative.</w:t>
            </w:r>
          </w:p>
        </w:tc>
        <w:tc>
          <w:tcPr>
            <w:tcW w:w="2590" w:type="dxa"/>
          </w:tcPr>
          <w:p w:rsidR="009564E0" w:rsidRPr="009564E0" w:rsidRDefault="009564E0" w:rsidP="009564E0">
            <w:r w:rsidRPr="009564E0">
              <w:t>Delivery techniques (posture, gesture, eye contact, and vocal expressiveness) detract from the understandability of the presentation, and speaker appears uncomfortable.</w:t>
            </w:r>
          </w:p>
        </w:tc>
      </w:tr>
    </w:tbl>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tbl>
      <w:tblPr>
        <w:tblStyle w:val="TableGrid1"/>
        <w:tblpPr w:leftFromText="180" w:rightFromText="180" w:vertAnchor="text" w:horzAnchor="margin" w:tblpY="-719"/>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spacing w:after="160" w:line="259" w:lineRule="auto"/>
              <w:rPr>
                <w:b/>
              </w:rPr>
            </w:pPr>
          </w:p>
        </w:tc>
        <w:tc>
          <w:tcPr>
            <w:tcW w:w="10360" w:type="dxa"/>
            <w:gridSpan w:val="4"/>
          </w:tcPr>
          <w:p w:rsidR="009564E0" w:rsidRPr="009564E0" w:rsidRDefault="009564E0" w:rsidP="009564E0">
            <w:pPr>
              <w:spacing w:after="160" w:line="259" w:lineRule="auto"/>
              <w:rPr>
                <w:b/>
              </w:rPr>
            </w:pPr>
            <w:r w:rsidRPr="009564E0">
              <w:rPr>
                <w:b/>
              </w:rPr>
              <w:t>IPFW General Education Rubric (Grounded in AAC&amp;U Value Rubrics) – Oral Communication</w:t>
            </w:r>
          </w:p>
        </w:tc>
      </w:tr>
      <w:tr w:rsidR="009564E0" w:rsidRPr="009564E0" w:rsidTr="0007185A">
        <w:tc>
          <w:tcPr>
            <w:tcW w:w="2590" w:type="dxa"/>
            <w:vMerge w:val="restart"/>
          </w:tcPr>
          <w:p w:rsidR="009564E0" w:rsidRPr="009564E0" w:rsidRDefault="009564E0" w:rsidP="009564E0">
            <w:pPr>
              <w:spacing w:after="160" w:line="259" w:lineRule="auto"/>
            </w:pPr>
            <w:r w:rsidRPr="009564E0">
              <w:rPr>
                <w:b/>
              </w:rPr>
              <w:t>IPFW General Education Student Learning Outcomes</w:t>
            </w:r>
          </w:p>
        </w:tc>
        <w:tc>
          <w:tcPr>
            <w:tcW w:w="2590" w:type="dxa"/>
            <w:vMerge w:val="restart"/>
          </w:tcPr>
          <w:p w:rsidR="009564E0" w:rsidRPr="009564E0" w:rsidRDefault="009564E0" w:rsidP="009564E0">
            <w:pPr>
              <w:spacing w:after="160" w:line="259" w:lineRule="auto"/>
              <w:jc w:val="center"/>
              <w:rPr>
                <w:b/>
              </w:rPr>
            </w:pPr>
            <w:r w:rsidRPr="009564E0">
              <w:rPr>
                <w:b/>
              </w:rPr>
              <w:t>Capstone</w:t>
            </w:r>
          </w:p>
          <w:p w:rsidR="009564E0" w:rsidRPr="009564E0" w:rsidRDefault="009564E0" w:rsidP="009564E0">
            <w:pPr>
              <w:spacing w:after="160" w:line="259" w:lineRule="auto"/>
              <w:jc w:val="center"/>
              <w:rPr>
                <w:b/>
              </w:rPr>
            </w:pPr>
            <w:r w:rsidRPr="009564E0">
              <w:rPr>
                <w:b/>
              </w:rPr>
              <w:t>4</w:t>
            </w:r>
          </w:p>
        </w:tc>
        <w:tc>
          <w:tcPr>
            <w:tcW w:w="5180" w:type="dxa"/>
            <w:gridSpan w:val="2"/>
          </w:tcPr>
          <w:p w:rsidR="009564E0" w:rsidRPr="009564E0" w:rsidRDefault="009564E0" w:rsidP="009564E0">
            <w:pPr>
              <w:spacing w:after="160" w:line="259" w:lineRule="auto"/>
              <w:jc w:val="center"/>
              <w:rPr>
                <w:b/>
              </w:rPr>
            </w:pPr>
            <w:r w:rsidRPr="009564E0">
              <w:rPr>
                <w:b/>
              </w:rPr>
              <w:t>Milestones</w:t>
            </w:r>
          </w:p>
        </w:tc>
        <w:tc>
          <w:tcPr>
            <w:tcW w:w="2590" w:type="dxa"/>
            <w:vMerge w:val="restart"/>
          </w:tcPr>
          <w:p w:rsidR="009564E0" w:rsidRPr="009564E0" w:rsidRDefault="009564E0" w:rsidP="009564E0">
            <w:pPr>
              <w:spacing w:after="160" w:line="259" w:lineRule="auto"/>
              <w:jc w:val="center"/>
              <w:rPr>
                <w:b/>
              </w:rPr>
            </w:pPr>
            <w:r w:rsidRPr="009564E0">
              <w:rPr>
                <w:b/>
              </w:rPr>
              <w:t>Benchmark</w:t>
            </w:r>
          </w:p>
          <w:p w:rsidR="009564E0" w:rsidRPr="009564E0" w:rsidRDefault="009564E0" w:rsidP="009564E0">
            <w:pPr>
              <w:spacing w:after="160" w:line="259" w:lineRule="auto"/>
              <w:jc w:val="center"/>
              <w:rPr>
                <w:b/>
              </w:rPr>
            </w:pPr>
            <w:r w:rsidRPr="009564E0">
              <w:rPr>
                <w:b/>
              </w:rPr>
              <w:t>1</w:t>
            </w:r>
          </w:p>
        </w:tc>
      </w:tr>
      <w:tr w:rsidR="009564E0" w:rsidRPr="009564E0" w:rsidTr="0007185A">
        <w:tc>
          <w:tcPr>
            <w:tcW w:w="2590" w:type="dxa"/>
            <w:vMerge/>
          </w:tcPr>
          <w:p w:rsidR="009564E0" w:rsidRPr="009564E0" w:rsidRDefault="009564E0" w:rsidP="009564E0">
            <w:pPr>
              <w:spacing w:after="160" w:line="259" w:lineRule="auto"/>
            </w:pPr>
          </w:p>
        </w:tc>
        <w:tc>
          <w:tcPr>
            <w:tcW w:w="2590" w:type="dxa"/>
            <w:vMerge/>
          </w:tcPr>
          <w:p w:rsidR="009564E0" w:rsidRPr="009564E0" w:rsidRDefault="009564E0" w:rsidP="009564E0">
            <w:pPr>
              <w:spacing w:after="160" w:line="259" w:lineRule="auto"/>
            </w:pPr>
          </w:p>
        </w:tc>
        <w:tc>
          <w:tcPr>
            <w:tcW w:w="2590" w:type="dxa"/>
          </w:tcPr>
          <w:p w:rsidR="009564E0" w:rsidRPr="009564E0" w:rsidRDefault="009564E0" w:rsidP="009564E0">
            <w:pPr>
              <w:spacing w:after="160" w:line="259" w:lineRule="auto"/>
              <w:jc w:val="center"/>
              <w:rPr>
                <w:b/>
              </w:rPr>
            </w:pPr>
            <w:r w:rsidRPr="009564E0">
              <w:rPr>
                <w:b/>
              </w:rPr>
              <w:t>3</w:t>
            </w:r>
          </w:p>
        </w:tc>
        <w:tc>
          <w:tcPr>
            <w:tcW w:w="2590" w:type="dxa"/>
          </w:tcPr>
          <w:p w:rsidR="009564E0" w:rsidRPr="009564E0" w:rsidRDefault="009564E0" w:rsidP="009564E0">
            <w:pPr>
              <w:spacing w:after="160" w:line="259" w:lineRule="auto"/>
              <w:jc w:val="center"/>
              <w:rPr>
                <w:b/>
              </w:rPr>
            </w:pPr>
            <w:r w:rsidRPr="009564E0">
              <w:rPr>
                <w:b/>
              </w:rPr>
              <w:t>2</w:t>
            </w:r>
          </w:p>
        </w:tc>
        <w:tc>
          <w:tcPr>
            <w:tcW w:w="2590" w:type="dxa"/>
            <w:vMerge/>
          </w:tcPr>
          <w:p w:rsidR="009564E0" w:rsidRPr="009564E0" w:rsidRDefault="009564E0" w:rsidP="009564E0">
            <w:pPr>
              <w:spacing w:after="160" w:line="259" w:lineRule="auto"/>
            </w:pPr>
          </w:p>
        </w:tc>
      </w:tr>
      <w:tr w:rsidR="009564E0" w:rsidRPr="009564E0" w:rsidTr="0007185A">
        <w:tc>
          <w:tcPr>
            <w:tcW w:w="2590" w:type="dxa"/>
          </w:tcPr>
          <w:p w:rsidR="009564E0" w:rsidRPr="009564E0" w:rsidRDefault="009564E0" w:rsidP="009564E0">
            <w:pPr>
              <w:spacing w:after="160" w:line="259" w:lineRule="auto"/>
            </w:pPr>
            <w:r w:rsidRPr="009564E0">
              <w:t>2.4 Advance an oral argument using logical reasoning.</w:t>
            </w:r>
          </w:p>
        </w:tc>
        <w:tc>
          <w:tcPr>
            <w:tcW w:w="2590" w:type="dxa"/>
          </w:tcPr>
          <w:p w:rsidR="009564E0" w:rsidRPr="009564E0" w:rsidRDefault="009564E0" w:rsidP="009564E0">
            <w:commentRangeStart w:id="3"/>
            <w:r w:rsidRPr="009564E0">
              <w:t>Conclusions and related outcomes (consequences and implications</w:t>
            </w:r>
            <w:commentRangeEnd w:id="3"/>
            <w:r w:rsidRPr="009564E0">
              <w:rPr>
                <w:sz w:val="16"/>
                <w:szCs w:val="16"/>
              </w:rPr>
              <w:commentReference w:id="3"/>
            </w:r>
            <w:r w:rsidRPr="009564E0">
              <w:t>) are logical and reflect student’s informed evaluation and ability to place evidence and perspectives discussed in priority order.</w:t>
            </w:r>
          </w:p>
        </w:tc>
        <w:tc>
          <w:tcPr>
            <w:tcW w:w="2590" w:type="dxa"/>
          </w:tcPr>
          <w:p w:rsidR="009564E0" w:rsidRPr="009564E0" w:rsidRDefault="009564E0" w:rsidP="009564E0">
            <w:r w:rsidRPr="009564E0">
              <w:t>Conclusion is logically tied to a range of information, including opposing viewpoints; related outcomes (consequences and implications) are identified clearly</w:t>
            </w:r>
          </w:p>
        </w:tc>
        <w:tc>
          <w:tcPr>
            <w:tcW w:w="2590" w:type="dxa"/>
          </w:tcPr>
          <w:p w:rsidR="009564E0" w:rsidRPr="009564E0" w:rsidRDefault="009564E0" w:rsidP="009564E0">
            <w:r w:rsidRPr="009564E0">
              <w:t>Conclusion is logically tied to information (because information is chosen to fit the desired conclusion); some related outcomes (consequences and implications) are identified clearly.</w:t>
            </w:r>
          </w:p>
        </w:tc>
        <w:tc>
          <w:tcPr>
            <w:tcW w:w="2590" w:type="dxa"/>
          </w:tcPr>
          <w:p w:rsidR="009564E0" w:rsidRPr="009564E0" w:rsidRDefault="009564E0" w:rsidP="009564E0">
            <w:r w:rsidRPr="009564E0">
              <w:t>Conclusion is inconsistently tied to some of the information discussed; related outcomes (consequences and implications) are oversimplified.</w:t>
            </w:r>
          </w:p>
        </w:tc>
      </w:tr>
      <w:tr w:rsidR="009564E0" w:rsidRPr="009564E0" w:rsidTr="0007185A">
        <w:tc>
          <w:tcPr>
            <w:tcW w:w="2590" w:type="dxa"/>
          </w:tcPr>
          <w:p w:rsidR="009564E0" w:rsidRPr="009564E0" w:rsidRDefault="009564E0" w:rsidP="009564E0">
            <w:r w:rsidRPr="009564E0">
              <w:t>2.5 Provide credible and relevant evidence to support an oral argument.</w:t>
            </w:r>
          </w:p>
        </w:tc>
        <w:tc>
          <w:tcPr>
            <w:tcW w:w="2590" w:type="dxa"/>
          </w:tcPr>
          <w:p w:rsidR="009564E0" w:rsidRPr="009564E0" w:rsidRDefault="009564E0" w:rsidP="009564E0">
            <w:r w:rsidRPr="009564E0">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2590" w:type="dxa"/>
          </w:tcPr>
          <w:p w:rsidR="009564E0" w:rsidRPr="009564E0" w:rsidRDefault="009564E0" w:rsidP="009564E0">
            <w:r w:rsidRPr="009564E0">
              <w:t>Supporting materials (explanations, examples, illustrations, statistics, analogies, quotations from relevant authorities) make appropriate reference to information or analysis that generally supports the presentation or establishes the presenter's credibility/authority on the topic.</w:t>
            </w:r>
          </w:p>
        </w:tc>
        <w:tc>
          <w:tcPr>
            <w:tcW w:w="2590" w:type="dxa"/>
          </w:tcPr>
          <w:p w:rsidR="009564E0" w:rsidRPr="009564E0" w:rsidRDefault="009564E0" w:rsidP="009564E0">
            <w:r w:rsidRPr="009564E0">
              <w:t>Supporting materials (explanations, examples, illustrations, statistics, analogies, quotations from relevant authorities) make appropriate reference to information or analysis that partially supports the presentation or establishes the presenter's credibility/authority on the topic.</w:t>
            </w:r>
          </w:p>
        </w:tc>
        <w:tc>
          <w:tcPr>
            <w:tcW w:w="2590" w:type="dxa"/>
          </w:tcPr>
          <w:p w:rsidR="009564E0" w:rsidRPr="009564E0" w:rsidRDefault="009564E0" w:rsidP="009564E0">
            <w:r w:rsidRPr="009564E0">
              <w:t>Insufficient supporting materials (explanations, examples, illustrations, statistics, analogies, quotations from relevant authorities) make reference to information or analysis that minimally supports the presentation or establishes the presenter's credibility/ authority on the topic.</w:t>
            </w:r>
          </w:p>
        </w:tc>
      </w:tr>
    </w:tbl>
    <w:tbl>
      <w:tblPr>
        <w:tblStyle w:val="TableGrid1"/>
        <w:tblpPr w:leftFromText="180" w:rightFromText="180" w:vertAnchor="text" w:horzAnchor="margin" w:tblpY="121"/>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spacing w:after="160" w:line="259" w:lineRule="auto"/>
              <w:rPr>
                <w:b/>
              </w:rPr>
            </w:pPr>
          </w:p>
        </w:tc>
        <w:tc>
          <w:tcPr>
            <w:tcW w:w="10360" w:type="dxa"/>
            <w:gridSpan w:val="4"/>
          </w:tcPr>
          <w:p w:rsidR="009564E0" w:rsidRPr="009564E0" w:rsidRDefault="009564E0" w:rsidP="009564E0">
            <w:pPr>
              <w:spacing w:after="160" w:line="259" w:lineRule="auto"/>
              <w:rPr>
                <w:b/>
              </w:rPr>
            </w:pPr>
            <w:r w:rsidRPr="009564E0">
              <w:rPr>
                <w:b/>
              </w:rPr>
              <w:t>IPFW General Education Rubric (Grounded in AAC&amp;U Value Rubrics) – Oral Communication</w:t>
            </w:r>
          </w:p>
        </w:tc>
      </w:tr>
      <w:tr w:rsidR="009564E0" w:rsidRPr="009564E0" w:rsidTr="0007185A">
        <w:tc>
          <w:tcPr>
            <w:tcW w:w="2590" w:type="dxa"/>
            <w:vMerge w:val="restart"/>
          </w:tcPr>
          <w:p w:rsidR="009564E0" w:rsidRPr="009564E0" w:rsidRDefault="009564E0" w:rsidP="009564E0">
            <w:pPr>
              <w:spacing w:after="160" w:line="259" w:lineRule="auto"/>
            </w:pPr>
            <w:r w:rsidRPr="009564E0">
              <w:rPr>
                <w:b/>
              </w:rPr>
              <w:t>IPFW General Education Student Learning Outcomes</w:t>
            </w:r>
          </w:p>
        </w:tc>
        <w:tc>
          <w:tcPr>
            <w:tcW w:w="2590" w:type="dxa"/>
            <w:vMerge w:val="restart"/>
          </w:tcPr>
          <w:p w:rsidR="009564E0" w:rsidRPr="009564E0" w:rsidRDefault="009564E0" w:rsidP="009564E0">
            <w:pPr>
              <w:spacing w:after="160" w:line="259" w:lineRule="auto"/>
              <w:jc w:val="center"/>
              <w:rPr>
                <w:b/>
              </w:rPr>
            </w:pPr>
            <w:r w:rsidRPr="009564E0">
              <w:rPr>
                <w:b/>
              </w:rPr>
              <w:t>Capstone</w:t>
            </w:r>
          </w:p>
          <w:p w:rsidR="009564E0" w:rsidRPr="009564E0" w:rsidRDefault="009564E0" w:rsidP="009564E0">
            <w:pPr>
              <w:spacing w:after="160" w:line="259" w:lineRule="auto"/>
              <w:jc w:val="center"/>
              <w:rPr>
                <w:b/>
              </w:rPr>
            </w:pPr>
            <w:r w:rsidRPr="009564E0">
              <w:rPr>
                <w:b/>
              </w:rPr>
              <w:t>4</w:t>
            </w:r>
          </w:p>
        </w:tc>
        <w:tc>
          <w:tcPr>
            <w:tcW w:w="5180" w:type="dxa"/>
            <w:gridSpan w:val="2"/>
          </w:tcPr>
          <w:p w:rsidR="009564E0" w:rsidRPr="009564E0" w:rsidRDefault="009564E0" w:rsidP="009564E0">
            <w:pPr>
              <w:spacing w:after="160" w:line="259" w:lineRule="auto"/>
              <w:jc w:val="center"/>
              <w:rPr>
                <w:b/>
              </w:rPr>
            </w:pPr>
            <w:r w:rsidRPr="009564E0">
              <w:rPr>
                <w:b/>
              </w:rPr>
              <w:t>Milestones</w:t>
            </w:r>
          </w:p>
        </w:tc>
        <w:tc>
          <w:tcPr>
            <w:tcW w:w="2590" w:type="dxa"/>
            <w:vMerge w:val="restart"/>
          </w:tcPr>
          <w:p w:rsidR="009564E0" w:rsidRPr="009564E0" w:rsidRDefault="009564E0" w:rsidP="009564E0">
            <w:pPr>
              <w:spacing w:after="160" w:line="259" w:lineRule="auto"/>
              <w:jc w:val="center"/>
              <w:rPr>
                <w:b/>
              </w:rPr>
            </w:pPr>
            <w:r w:rsidRPr="009564E0">
              <w:rPr>
                <w:b/>
              </w:rPr>
              <w:t>Benchmark</w:t>
            </w:r>
          </w:p>
          <w:p w:rsidR="009564E0" w:rsidRPr="009564E0" w:rsidRDefault="009564E0" w:rsidP="009564E0">
            <w:pPr>
              <w:spacing w:after="160" w:line="259" w:lineRule="auto"/>
              <w:jc w:val="center"/>
              <w:rPr>
                <w:b/>
              </w:rPr>
            </w:pPr>
            <w:r w:rsidRPr="009564E0">
              <w:rPr>
                <w:b/>
              </w:rPr>
              <w:t>1</w:t>
            </w:r>
          </w:p>
        </w:tc>
      </w:tr>
      <w:tr w:rsidR="009564E0" w:rsidRPr="009564E0" w:rsidTr="0007185A">
        <w:tc>
          <w:tcPr>
            <w:tcW w:w="2590" w:type="dxa"/>
            <w:vMerge/>
          </w:tcPr>
          <w:p w:rsidR="009564E0" w:rsidRPr="009564E0" w:rsidRDefault="009564E0" w:rsidP="009564E0">
            <w:pPr>
              <w:spacing w:after="160" w:line="259" w:lineRule="auto"/>
            </w:pPr>
          </w:p>
        </w:tc>
        <w:tc>
          <w:tcPr>
            <w:tcW w:w="2590" w:type="dxa"/>
            <w:vMerge/>
          </w:tcPr>
          <w:p w:rsidR="009564E0" w:rsidRPr="009564E0" w:rsidRDefault="009564E0" w:rsidP="009564E0">
            <w:pPr>
              <w:spacing w:after="160" w:line="259" w:lineRule="auto"/>
            </w:pPr>
          </w:p>
        </w:tc>
        <w:tc>
          <w:tcPr>
            <w:tcW w:w="2590" w:type="dxa"/>
          </w:tcPr>
          <w:p w:rsidR="009564E0" w:rsidRPr="009564E0" w:rsidRDefault="009564E0" w:rsidP="009564E0">
            <w:pPr>
              <w:spacing w:after="160" w:line="259" w:lineRule="auto"/>
              <w:jc w:val="center"/>
              <w:rPr>
                <w:b/>
              </w:rPr>
            </w:pPr>
            <w:r w:rsidRPr="009564E0">
              <w:rPr>
                <w:b/>
              </w:rPr>
              <w:t>3</w:t>
            </w:r>
          </w:p>
        </w:tc>
        <w:tc>
          <w:tcPr>
            <w:tcW w:w="2590" w:type="dxa"/>
          </w:tcPr>
          <w:p w:rsidR="009564E0" w:rsidRPr="009564E0" w:rsidRDefault="009564E0" w:rsidP="009564E0">
            <w:pPr>
              <w:spacing w:after="160" w:line="259" w:lineRule="auto"/>
              <w:jc w:val="center"/>
              <w:rPr>
                <w:b/>
              </w:rPr>
            </w:pPr>
            <w:r w:rsidRPr="009564E0">
              <w:rPr>
                <w:b/>
              </w:rPr>
              <w:t>2</w:t>
            </w:r>
          </w:p>
        </w:tc>
        <w:tc>
          <w:tcPr>
            <w:tcW w:w="2590" w:type="dxa"/>
            <w:vMerge/>
          </w:tcPr>
          <w:p w:rsidR="009564E0" w:rsidRPr="009564E0" w:rsidRDefault="009564E0" w:rsidP="009564E0">
            <w:pPr>
              <w:spacing w:after="160" w:line="259" w:lineRule="auto"/>
            </w:pPr>
          </w:p>
        </w:tc>
      </w:tr>
      <w:tr w:rsidR="009564E0" w:rsidRPr="009564E0" w:rsidTr="0007185A">
        <w:tc>
          <w:tcPr>
            <w:tcW w:w="2590" w:type="dxa"/>
          </w:tcPr>
          <w:p w:rsidR="009564E0" w:rsidRPr="009564E0" w:rsidRDefault="009564E0" w:rsidP="009564E0">
            <w:pPr>
              <w:spacing w:after="160" w:line="259" w:lineRule="auto"/>
            </w:pPr>
            <w:r w:rsidRPr="009564E0">
              <w:t>2.6 Demonstrate the ethical responsibilities of sending and receiving oral messages.</w:t>
            </w:r>
          </w:p>
        </w:tc>
        <w:tc>
          <w:tcPr>
            <w:tcW w:w="2590" w:type="dxa"/>
          </w:tcPr>
          <w:p w:rsidR="009564E0" w:rsidRPr="009564E0" w:rsidRDefault="009564E0" w:rsidP="009564E0">
            <w:commentRangeStart w:id="4"/>
            <w:r w:rsidRPr="009564E0">
              <w:t xml:space="preserve">Student can independently apply ethical </w:t>
            </w:r>
            <w:commentRangeEnd w:id="4"/>
            <w:r w:rsidRPr="009564E0">
              <w:rPr>
                <w:sz w:val="16"/>
                <w:szCs w:val="16"/>
              </w:rPr>
              <w:commentReference w:id="4"/>
            </w:r>
            <w:r w:rsidRPr="009564E0">
              <w:t>perspectives/concepts to an ethical question, accurately, and is able to consider full implications of the application.</w:t>
            </w:r>
          </w:p>
        </w:tc>
        <w:tc>
          <w:tcPr>
            <w:tcW w:w="2590" w:type="dxa"/>
          </w:tcPr>
          <w:p w:rsidR="009564E0" w:rsidRPr="009564E0" w:rsidRDefault="009564E0" w:rsidP="009564E0">
            <w:r w:rsidRPr="009564E0">
              <w:t>Student can independently (to a new example) apply ethical perspectives/ concepts to an ethical question, accurately, but does not consider the specific implications of the application.</w:t>
            </w:r>
          </w:p>
        </w:tc>
        <w:tc>
          <w:tcPr>
            <w:tcW w:w="2590" w:type="dxa"/>
          </w:tcPr>
          <w:p w:rsidR="009564E0" w:rsidRPr="009564E0" w:rsidRDefault="009564E0" w:rsidP="009564E0">
            <w:r w:rsidRPr="009564E0">
              <w:t>Student can apply ethical perspectives/concepts to an ethical question, independently (to a new example) and the application is inaccurate.</w:t>
            </w:r>
          </w:p>
        </w:tc>
        <w:tc>
          <w:tcPr>
            <w:tcW w:w="2590" w:type="dxa"/>
          </w:tcPr>
          <w:p w:rsidR="009564E0" w:rsidRPr="009564E0" w:rsidRDefault="009564E0" w:rsidP="009564E0">
            <w:r w:rsidRPr="009564E0">
              <w:t>Student can apply ethical perspectives/ concepts to an ethical question with support (using examples, in a class, in a group, or a fixed-choice setting) but is unable to apply ethical perspectives/concepts independently (to a new example.).</w:t>
            </w:r>
          </w:p>
        </w:tc>
      </w:tr>
      <w:tr w:rsidR="009564E0" w:rsidRPr="009564E0" w:rsidTr="0007185A">
        <w:tc>
          <w:tcPr>
            <w:tcW w:w="2590" w:type="dxa"/>
          </w:tcPr>
          <w:p w:rsidR="009564E0" w:rsidRPr="009564E0" w:rsidRDefault="009564E0" w:rsidP="009564E0">
            <w:r w:rsidRPr="009564E0">
              <w:t xml:space="preserve">2.7 Summarize or paraphrase an oral message to demonstrate </w:t>
            </w:r>
            <w:commentRangeStart w:id="5"/>
            <w:r w:rsidRPr="009564E0">
              <w:t>comprehension</w:t>
            </w:r>
            <w:commentRangeEnd w:id="5"/>
            <w:r w:rsidRPr="009564E0">
              <w:rPr>
                <w:sz w:val="16"/>
                <w:szCs w:val="16"/>
              </w:rPr>
              <w:commentReference w:id="5"/>
            </w:r>
            <w:r w:rsidRPr="009564E0">
              <w:t>.</w:t>
            </w:r>
          </w:p>
        </w:tc>
        <w:tc>
          <w:tcPr>
            <w:tcW w:w="2590" w:type="dxa"/>
          </w:tcPr>
          <w:p w:rsidR="009564E0" w:rsidRPr="009564E0" w:rsidRDefault="009564E0" w:rsidP="009564E0">
            <w:r w:rsidRPr="009564E0">
              <w:t>Recognizes possible implications of the oral message for contexts, perspectives, or issues beyond the assigned task within the classroom or beyond the speaker’s explicit message (e.g. might recognize broader issues at play, or might pose challenges to the speaker’s message and presentation).</w:t>
            </w:r>
          </w:p>
        </w:tc>
        <w:tc>
          <w:tcPr>
            <w:tcW w:w="2590" w:type="dxa"/>
          </w:tcPr>
          <w:p w:rsidR="009564E0" w:rsidRPr="009564E0" w:rsidRDefault="009564E0" w:rsidP="009564E0">
            <w:r w:rsidRPr="009564E0">
              <w:t>Uses the spoken message, general background knowledge, and/or specific knowledge of the speaker’s context to draw more complex inferences about the speaker’s message and attitude.</w:t>
            </w:r>
          </w:p>
        </w:tc>
        <w:tc>
          <w:tcPr>
            <w:tcW w:w="2590" w:type="dxa"/>
          </w:tcPr>
          <w:p w:rsidR="009564E0" w:rsidRPr="009564E0" w:rsidRDefault="009564E0" w:rsidP="009564E0">
            <w:r w:rsidRPr="009564E0">
              <w:t>Evaluated how oral features (e.g. speech structure or tone) contribute to the speaker’s message, draws basic inferences about context and purpose of message.</w:t>
            </w:r>
          </w:p>
        </w:tc>
        <w:tc>
          <w:tcPr>
            <w:tcW w:w="2590" w:type="dxa"/>
          </w:tcPr>
          <w:p w:rsidR="009564E0" w:rsidRPr="009564E0" w:rsidRDefault="009564E0" w:rsidP="009564E0">
            <w:r w:rsidRPr="009564E0">
              <w:t>Apprehends speech appropriately to paraphrase or summarize the information communicated.</w:t>
            </w:r>
          </w:p>
        </w:tc>
      </w:tr>
    </w:tbl>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tbl>
      <w:tblPr>
        <w:tblStyle w:val="TableGrid1"/>
        <w:tblpPr w:leftFromText="180" w:rightFromText="180" w:vertAnchor="text" w:horzAnchor="margin" w:tblpY="331"/>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spacing w:after="160" w:line="259" w:lineRule="auto"/>
              <w:rPr>
                <w:b/>
              </w:rPr>
            </w:pPr>
          </w:p>
        </w:tc>
        <w:tc>
          <w:tcPr>
            <w:tcW w:w="10360" w:type="dxa"/>
            <w:gridSpan w:val="4"/>
          </w:tcPr>
          <w:p w:rsidR="009564E0" w:rsidRPr="009564E0" w:rsidRDefault="009564E0" w:rsidP="009564E0">
            <w:pPr>
              <w:spacing w:after="160" w:line="259" w:lineRule="auto"/>
              <w:rPr>
                <w:b/>
              </w:rPr>
            </w:pPr>
            <w:r w:rsidRPr="009564E0">
              <w:rPr>
                <w:b/>
              </w:rPr>
              <w:t>IPFW General Education Rubric (Grounded in AAC&amp;U Value Rubrics) – Quantitative Reasoning</w:t>
            </w:r>
          </w:p>
        </w:tc>
      </w:tr>
      <w:tr w:rsidR="009564E0" w:rsidRPr="009564E0" w:rsidTr="0007185A">
        <w:tc>
          <w:tcPr>
            <w:tcW w:w="2590" w:type="dxa"/>
            <w:vMerge w:val="restart"/>
          </w:tcPr>
          <w:p w:rsidR="009564E0" w:rsidRPr="009564E0" w:rsidRDefault="009564E0" w:rsidP="009564E0">
            <w:pPr>
              <w:spacing w:after="160" w:line="259" w:lineRule="auto"/>
            </w:pPr>
            <w:r w:rsidRPr="009564E0">
              <w:rPr>
                <w:b/>
              </w:rPr>
              <w:t>IPFW General Education Student Learning Outcomes</w:t>
            </w:r>
          </w:p>
        </w:tc>
        <w:tc>
          <w:tcPr>
            <w:tcW w:w="2590" w:type="dxa"/>
            <w:vMerge w:val="restart"/>
          </w:tcPr>
          <w:p w:rsidR="009564E0" w:rsidRPr="009564E0" w:rsidRDefault="009564E0" w:rsidP="009564E0">
            <w:pPr>
              <w:spacing w:after="160" w:line="259" w:lineRule="auto"/>
              <w:jc w:val="center"/>
              <w:rPr>
                <w:b/>
              </w:rPr>
            </w:pPr>
            <w:r w:rsidRPr="009564E0">
              <w:rPr>
                <w:b/>
              </w:rPr>
              <w:t>Capstone</w:t>
            </w:r>
          </w:p>
          <w:p w:rsidR="009564E0" w:rsidRPr="009564E0" w:rsidRDefault="009564E0" w:rsidP="009564E0">
            <w:pPr>
              <w:spacing w:after="160" w:line="259" w:lineRule="auto"/>
              <w:jc w:val="center"/>
              <w:rPr>
                <w:b/>
              </w:rPr>
            </w:pPr>
            <w:r w:rsidRPr="009564E0">
              <w:rPr>
                <w:b/>
              </w:rPr>
              <w:t>4</w:t>
            </w:r>
          </w:p>
        </w:tc>
        <w:tc>
          <w:tcPr>
            <w:tcW w:w="5180" w:type="dxa"/>
            <w:gridSpan w:val="2"/>
          </w:tcPr>
          <w:p w:rsidR="009564E0" w:rsidRPr="009564E0" w:rsidRDefault="009564E0" w:rsidP="009564E0">
            <w:pPr>
              <w:spacing w:after="160" w:line="259" w:lineRule="auto"/>
              <w:jc w:val="center"/>
              <w:rPr>
                <w:b/>
              </w:rPr>
            </w:pPr>
            <w:r w:rsidRPr="009564E0">
              <w:rPr>
                <w:b/>
              </w:rPr>
              <w:t>Milestones</w:t>
            </w:r>
          </w:p>
        </w:tc>
        <w:tc>
          <w:tcPr>
            <w:tcW w:w="2590" w:type="dxa"/>
            <w:vMerge w:val="restart"/>
          </w:tcPr>
          <w:p w:rsidR="009564E0" w:rsidRPr="009564E0" w:rsidRDefault="009564E0" w:rsidP="009564E0">
            <w:pPr>
              <w:spacing w:after="160" w:line="259" w:lineRule="auto"/>
              <w:jc w:val="center"/>
              <w:rPr>
                <w:b/>
              </w:rPr>
            </w:pPr>
            <w:r w:rsidRPr="009564E0">
              <w:rPr>
                <w:b/>
              </w:rPr>
              <w:t>Benchmark</w:t>
            </w:r>
          </w:p>
          <w:p w:rsidR="009564E0" w:rsidRPr="009564E0" w:rsidRDefault="009564E0" w:rsidP="009564E0">
            <w:pPr>
              <w:spacing w:after="160" w:line="259" w:lineRule="auto"/>
              <w:jc w:val="center"/>
              <w:rPr>
                <w:b/>
              </w:rPr>
            </w:pPr>
            <w:r w:rsidRPr="009564E0">
              <w:rPr>
                <w:b/>
              </w:rPr>
              <w:t>1</w:t>
            </w:r>
          </w:p>
        </w:tc>
      </w:tr>
      <w:tr w:rsidR="009564E0" w:rsidRPr="009564E0" w:rsidTr="0007185A">
        <w:tc>
          <w:tcPr>
            <w:tcW w:w="2590" w:type="dxa"/>
            <w:vMerge/>
          </w:tcPr>
          <w:p w:rsidR="009564E0" w:rsidRPr="009564E0" w:rsidRDefault="009564E0" w:rsidP="009564E0">
            <w:pPr>
              <w:spacing w:after="160" w:line="259" w:lineRule="auto"/>
            </w:pPr>
          </w:p>
        </w:tc>
        <w:tc>
          <w:tcPr>
            <w:tcW w:w="2590" w:type="dxa"/>
            <w:vMerge/>
          </w:tcPr>
          <w:p w:rsidR="009564E0" w:rsidRPr="009564E0" w:rsidRDefault="009564E0" w:rsidP="009564E0">
            <w:pPr>
              <w:spacing w:after="160" w:line="259" w:lineRule="auto"/>
            </w:pPr>
          </w:p>
        </w:tc>
        <w:tc>
          <w:tcPr>
            <w:tcW w:w="2590" w:type="dxa"/>
          </w:tcPr>
          <w:p w:rsidR="009564E0" w:rsidRPr="009564E0" w:rsidRDefault="009564E0" w:rsidP="009564E0">
            <w:pPr>
              <w:spacing w:after="160" w:line="259" w:lineRule="auto"/>
              <w:jc w:val="center"/>
              <w:rPr>
                <w:b/>
              </w:rPr>
            </w:pPr>
            <w:r w:rsidRPr="009564E0">
              <w:rPr>
                <w:b/>
              </w:rPr>
              <w:t>3</w:t>
            </w:r>
          </w:p>
        </w:tc>
        <w:tc>
          <w:tcPr>
            <w:tcW w:w="2590" w:type="dxa"/>
          </w:tcPr>
          <w:p w:rsidR="009564E0" w:rsidRPr="009564E0" w:rsidRDefault="009564E0" w:rsidP="009564E0">
            <w:pPr>
              <w:spacing w:after="160" w:line="259" w:lineRule="auto"/>
              <w:jc w:val="center"/>
              <w:rPr>
                <w:b/>
              </w:rPr>
            </w:pPr>
            <w:r w:rsidRPr="009564E0">
              <w:rPr>
                <w:b/>
              </w:rPr>
              <w:t>2</w:t>
            </w:r>
          </w:p>
        </w:tc>
        <w:tc>
          <w:tcPr>
            <w:tcW w:w="2590" w:type="dxa"/>
            <w:vMerge/>
          </w:tcPr>
          <w:p w:rsidR="009564E0" w:rsidRPr="009564E0" w:rsidRDefault="009564E0" w:rsidP="009564E0">
            <w:pPr>
              <w:spacing w:after="160" w:line="259" w:lineRule="auto"/>
            </w:pPr>
          </w:p>
        </w:tc>
      </w:tr>
      <w:tr w:rsidR="009564E0" w:rsidRPr="009564E0" w:rsidTr="0007185A">
        <w:tc>
          <w:tcPr>
            <w:tcW w:w="2590" w:type="dxa"/>
          </w:tcPr>
          <w:p w:rsidR="009564E0" w:rsidRPr="009564E0" w:rsidRDefault="009564E0" w:rsidP="009564E0">
            <w:r w:rsidRPr="009564E0">
              <w:t>3.1. Interpret information that has been presented in mathematical form (e.g. with functions, equations, graphs, diagrams, tables, words, geometric figures)</w:t>
            </w:r>
          </w:p>
        </w:tc>
        <w:tc>
          <w:tcPr>
            <w:tcW w:w="2590" w:type="dxa"/>
          </w:tcPr>
          <w:p w:rsidR="009564E0" w:rsidRPr="009564E0" w:rsidRDefault="009564E0" w:rsidP="009564E0">
            <w:r w:rsidRPr="009564E0">
              <w:t>Provides accurate explanations of information presented in mathematical forms. Makes appropriate inferences based on that information. For example, accurately explains the trend data shown in a graph and makes reasonable predictions regarding what the data suggest about future events.</w:t>
            </w:r>
          </w:p>
        </w:tc>
        <w:tc>
          <w:tcPr>
            <w:tcW w:w="2590" w:type="dxa"/>
          </w:tcPr>
          <w:p w:rsidR="009564E0" w:rsidRPr="009564E0" w:rsidRDefault="009564E0" w:rsidP="009564E0">
            <w:r w:rsidRPr="009564E0">
              <w:t>Provides accurate explanations of information presented in mathematical forms. For instance, accurately explains the trend data shown in a graph.</w:t>
            </w:r>
          </w:p>
        </w:tc>
        <w:tc>
          <w:tcPr>
            <w:tcW w:w="2590" w:type="dxa"/>
          </w:tcPr>
          <w:p w:rsidR="009564E0" w:rsidRPr="009564E0" w:rsidRDefault="009564E0" w:rsidP="009564E0">
            <w:r w:rsidRPr="009564E0">
              <w:t>Provides somewhat accurate explanations of information presented in mathematical forms, but occasionally makes minor errors related to computations or units. For instance, accurately explains trend data shown in a graph, but may miscalculate the slope of the trend line.</w:t>
            </w:r>
          </w:p>
        </w:tc>
        <w:tc>
          <w:tcPr>
            <w:tcW w:w="2590" w:type="dxa"/>
          </w:tcPr>
          <w:p w:rsidR="009564E0" w:rsidRPr="009564E0" w:rsidRDefault="009564E0" w:rsidP="009564E0">
            <w:r w:rsidRPr="009564E0">
              <w:t>Attempts to explain information presented in mathematical forms, but draws incorrect conclusions about what the information means.</w:t>
            </w:r>
          </w:p>
          <w:p w:rsidR="009564E0" w:rsidRPr="009564E0" w:rsidRDefault="009564E0" w:rsidP="009564E0">
            <w:r w:rsidRPr="009564E0">
              <w:t>For example, attempts to explain the trend data shown in a graph, but will frequently misinterpret the nature of that trend, perhaps by confusing positive and negative trends.</w:t>
            </w:r>
          </w:p>
        </w:tc>
      </w:tr>
      <w:tr w:rsidR="009564E0" w:rsidRPr="009564E0" w:rsidTr="0007185A">
        <w:tc>
          <w:tcPr>
            <w:tcW w:w="2590" w:type="dxa"/>
          </w:tcPr>
          <w:p w:rsidR="009564E0" w:rsidRPr="009564E0" w:rsidRDefault="009564E0" w:rsidP="009564E0">
            <w:r w:rsidRPr="009564E0">
              <w:t>3.2. Represent information/data in mathematical form as appropriate (e.g. with functions, equations, graphs, diagrams, tables, words, geometric figures).</w:t>
            </w:r>
          </w:p>
        </w:tc>
        <w:tc>
          <w:tcPr>
            <w:tcW w:w="2590" w:type="dxa"/>
          </w:tcPr>
          <w:p w:rsidR="009564E0" w:rsidRPr="009564E0" w:rsidRDefault="009564E0" w:rsidP="009564E0">
            <w:r w:rsidRPr="009564E0">
              <w:t>Skillfully converts relevant information into an</w:t>
            </w:r>
          </w:p>
          <w:p w:rsidR="009564E0" w:rsidRPr="009564E0" w:rsidRDefault="009564E0" w:rsidP="009564E0">
            <w:r w:rsidRPr="009564E0">
              <w:t>insightful mathematical portrayal in a way that</w:t>
            </w:r>
          </w:p>
          <w:p w:rsidR="009564E0" w:rsidRPr="009564E0" w:rsidRDefault="009564E0" w:rsidP="009564E0">
            <w:r w:rsidRPr="009564E0">
              <w:t>contributes to a further or deeper understanding</w:t>
            </w:r>
          </w:p>
        </w:tc>
        <w:tc>
          <w:tcPr>
            <w:tcW w:w="2590" w:type="dxa"/>
          </w:tcPr>
          <w:p w:rsidR="009564E0" w:rsidRPr="009564E0" w:rsidRDefault="009564E0" w:rsidP="009564E0">
            <w:r w:rsidRPr="009564E0">
              <w:t>Competently converts relevant information into an appropriate and desired mathematical portrayal.</w:t>
            </w:r>
          </w:p>
        </w:tc>
        <w:tc>
          <w:tcPr>
            <w:tcW w:w="2590" w:type="dxa"/>
          </w:tcPr>
          <w:p w:rsidR="009564E0" w:rsidRPr="009564E0" w:rsidRDefault="009564E0" w:rsidP="009564E0">
            <w:r w:rsidRPr="009564E0">
              <w:t>Completes conversion of information but resulting mathematical portrayal is only partially appropriate or accurate.</w:t>
            </w:r>
          </w:p>
        </w:tc>
        <w:tc>
          <w:tcPr>
            <w:tcW w:w="2590" w:type="dxa"/>
          </w:tcPr>
          <w:p w:rsidR="009564E0" w:rsidRPr="009564E0" w:rsidRDefault="009564E0" w:rsidP="009564E0">
            <w:r w:rsidRPr="009564E0">
              <w:t>Completes conversion of information but</w:t>
            </w:r>
          </w:p>
          <w:p w:rsidR="009564E0" w:rsidRPr="009564E0" w:rsidRDefault="009564E0" w:rsidP="009564E0">
            <w:r w:rsidRPr="009564E0">
              <w:t>resulting mathematical portrayal is inappropriate or inaccurate.</w:t>
            </w:r>
          </w:p>
        </w:tc>
      </w:tr>
    </w:tbl>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r w:rsidRPr="009564E0">
        <w:rPr>
          <w:rFonts w:asciiTheme="minorHAnsi" w:hAnsiTheme="minorHAnsi" w:cstheme="minorBidi"/>
          <w:sz w:val="22"/>
          <w:szCs w:val="22"/>
        </w:rPr>
        <w:br w:type="page"/>
      </w:r>
    </w:p>
    <w:tbl>
      <w:tblPr>
        <w:tblStyle w:val="TableGrid1"/>
        <w:tblpPr w:leftFromText="180" w:rightFromText="180" w:vertAnchor="text" w:horzAnchor="margin" w:tblpY="31"/>
        <w:tblW w:w="0" w:type="auto"/>
        <w:tblLook w:val="04A0" w:firstRow="1" w:lastRow="0" w:firstColumn="1" w:lastColumn="0" w:noHBand="0" w:noVBand="1"/>
      </w:tblPr>
      <w:tblGrid>
        <w:gridCol w:w="2590"/>
        <w:gridCol w:w="2590"/>
        <w:gridCol w:w="2590"/>
        <w:gridCol w:w="2590"/>
        <w:gridCol w:w="2590"/>
      </w:tblGrid>
      <w:tr w:rsidR="009564E0" w:rsidRPr="009564E0" w:rsidTr="0007185A">
        <w:tc>
          <w:tcPr>
            <w:tcW w:w="2590" w:type="dxa"/>
          </w:tcPr>
          <w:p w:rsidR="009564E0" w:rsidRPr="009564E0" w:rsidRDefault="009564E0" w:rsidP="009564E0">
            <w:pPr>
              <w:spacing w:after="160" w:line="259" w:lineRule="auto"/>
              <w:rPr>
                <w:b/>
              </w:rPr>
            </w:pPr>
          </w:p>
        </w:tc>
        <w:tc>
          <w:tcPr>
            <w:tcW w:w="10360" w:type="dxa"/>
            <w:gridSpan w:val="4"/>
          </w:tcPr>
          <w:p w:rsidR="009564E0" w:rsidRPr="009564E0" w:rsidRDefault="009564E0" w:rsidP="009564E0">
            <w:pPr>
              <w:spacing w:after="160" w:line="259" w:lineRule="auto"/>
              <w:rPr>
                <w:b/>
              </w:rPr>
            </w:pPr>
            <w:r w:rsidRPr="009564E0">
              <w:rPr>
                <w:b/>
              </w:rPr>
              <w:t>IPFW General Education Rubric (Grounded in AAC&amp;U Value Rubrics)– Quantitative Reasoning</w:t>
            </w:r>
          </w:p>
        </w:tc>
      </w:tr>
      <w:tr w:rsidR="009564E0" w:rsidRPr="009564E0" w:rsidTr="0007185A">
        <w:tc>
          <w:tcPr>
            <w:tcW w:w="2590" w:type="dxa"/>
            <w:vMerge w:val="restart"/>
          </w:tcPr>
          <w:p w:rsidR="009564E0" w:rsidRPr="009564E0" w:rsidRDefault="009564E0" w:rsidP="009564E0">
            <w:pPr>
              <w:spacing w:after="160" w:line="259" w:lineRule="auto"/>
            </w:pPr>
            <w:r w:rsidRPr="009564E0">
              <w:rPr>
                <w:b/>
              </w:rPr>
              <w:t>IPFW General Education Student Learning Outcomes</w:t>
            </w:r>
          </w:p>
        </w:tc>
        <w:tc>
          <w:tcPr>
            <w:tcW w:w="2590" w:type="dxa"/>
            <w:vMerge w:val="restart"/>
          </w:tcPr>
          <w:p w:rsidR="009564E0" w:rsidRPr="009564E0" w:rsidRDefault="009564E0" w:rsidP="009564E0">
            <w:pPr>
              <w:spacing w:after="160" w:line="259" w:lineRule="auto"/>
              <w:jc w:val="center"/>
              <w:rPr>
                <w:b/>
              </w:rPr>
            </w:pPr>
            <w:r w:rsidRPr="009564E0">
              <w:rPr>
                <w:b/>
              </w:rPr>
              <w:t>Capstone</w:t>
            </w:r>
          </w:p>
          <w:p w:rsidR="009564E0" w:rsidRPr="009564E0" w:rsidRDefault="009564E0" w:rsidP="009564E0">
            <w:pPr>
              <w:spacing w:after="160" w:line="259" w:lineRule="auto"/>
              <w:jc w:val="center"/>
              <w:rPr>
                <w:b/>
              </w:rPr>
            </w:pPr>
            <w:r w:rsidRPr="009564E0">
              <w:rPr>
                <w:b/>
              </w:rPr>
              <w:t>4</w:t>
            </w:r>
          </w:p>
        </w:tc>
        <w:tc>
          <w:tcPr>
            <w:tcW w:w="5180" w:type="dxa"/>
            <w:gridSpan w:val="2"/>
          </w:tcPr>
          <w:p w:rsidR="009564E0" w:rsidRPr="009564E0" w:rsidRDefault="009564E0" w:rsidP="009564E0">
            <w:pPr>
              <w:spacing w:after="160" w:line="259" w:lineRule="auto"/>
              <w:jc w:val="center"/>
              <w:rPr>
                <w:b/>
              </w:rPr>
            </w:pPr>
            <w:r w:rsidRPr="009564E0">
              <w:rPr>
                <w:b/>
              </w:rPr>
              <w:t>Milestones</w:t>
            </w:r>
          </w:p>
        </w:tc>
        <w:tc>
          <w:tcPr>
            <w:tcW w:w="2590" w:type="dxa"/>
            <w:vMerge w:val="restart"/>
          </w:tcPr>
          <w:p w:rsidR="009564E0" w:rsidRPr="009564E0" w:rsidRDefault="009564E0" w:rsidP="009564E0">
            <w:pPr>
              <w:spacing w:after="160" w:line="259" w:lineRule="auto"/>
              <w:jc w:val="center"/>
              <w:rPr>
                <w:b/>
              </w:rPr>
            </w:pPr>
            <w:r w:rsidRPr="009564E0">
              <w:rPr>
                <w:b/>
              </w:rPr>
              <w:t>Benchmark</w:t>
            </w:r>
          </w:p>
          <w:p w:rsidR="009564E0" w:rsidRPr="009564E0" w:rsidRDefault="009564E0" w:rsidP="009564E0">
            <w:pPr>
              <w:spacing w:after="160" w:line="259" w:lineRule="auto"/>
              <w:jc w:val="center"/>
              <w:rPr>
                <w:b/>
              </w:rPr>
            </w:pPr>
            <w:r w:rsidRPr="009564E0">
              <w:rPr>
                <w:b/>
              </w:rPr>
              <w:t>1</w:t>
            </w:r>
          </w:p>
        </w:tc>
      </w:tr>
      <w:tr w:rsidR="009564E0" w:rsidRPr="009564E0" w:rsidTr="0007185A">
        <w:tc>
          <w:tcPr>
            <w:tcW w:w="2590" w:type="dxa"/>
            <w:vMerge/>
          </w:tcPr>
          <w:p w:rsidR="009564E0" w:rsidRPr="009564E0" w:rsidRDefault="009564E0" w:rsidP="009564E0">
            <w:pPr>
              <w:spacing w:after="160" w:line="259" w:lineRule="auto"/>
            </w:pPr>
          </w:p>
        </w:tc>
        <w:tc>
          <w:tcPr>
            <w:tcW w:w="2590" w:type="dxa"/>
            <w:vMerge/>
          </w:tcPr>
          <w:p w:rsidR="009564E0" w:rsidRPr="009564E0" w:rsidRDefault="009564E0" w:rsidP="009564E0">
            <w:pPr>
              <w:spacing w:after="160" w:line="259" w:lineRule="auto"/>
            </w:pPr>
          </w:p>
        </w:tc>
        <w:tc>
          <w:tcPr>
            <w:tcW w:w="2590" w:type="dxa"/>
          </w:tcPr>
          <w:p w:rsidR="009564E0" w:rsidRPr="009564E0" w:rsidRDefault="009564E0" w:rsidP="009564E0">
            <w:pPr>
              <w:spacing w:after="160" w:line="259" w:lineRule="auto"/>
              <w:jc w:val="center"/>
              <w:rPr>
                <w:b/>
              </w:rPr>
            </w:pPr>
            <w:r w:rsidRPr="009564E0">
              <w:rPr>
                <w:b/>
              </w:rPr>
              <w:t>3</w:t>
            </w:r>
          </w:p>
        </w:tc>
        <w:tc>
          <w:tcPr>
            <w:tcW w:w="2590" w:type="dxa"/>
          </w:tcPr>
          <w:p w:rsidR="009564E0" w:rsidRPr="009564E0" w:rsidRDefault="009564E0" w:rsidP="009564E0">
            <w:pPr>
              <w:spacing w:after="160" w:line="259" w:lineRule="auto"/>
              <w:jc w:val="center"/>
              <w:rPr>
                <w:b/>
              </w:rPr>
            </w:pPr>
            <w:r w:rsidRPr="009564E0">
              <w:rPr>
                <w:b/>
              </w:rPr>
              <w:t>2</w:t>
            </w:r>
          </w:p>
        </w:tc>
        <w:tc>
          <w:tcPr>
            <w:tcW w:w="2590" w:type="dxa"/>
            <w:vMerge/>
          </w:tcPr>
          <w:p w:rsidR="009564E0" w:rsidRPr="009564E0" w:rsidRDefault="009564E0" w:rsidP="009564E0">
            <w:pPr>
              <w:spacing w:after="160" w:line="259" w:lineRule="auto"/>
            </w:pPr>
          </w:p>
        </w:tc>
      </w:tr>
      <w:tr w:rsidR="009564E0" w:rsidRPr="009564E0" w:rsidTr="0007185A">
        <w:tc>
          <w:tcPr>
            <w:tcW w:w="2590" w:type="dxa"/>
          </w:tcPr>
          <w:p w:rsidR="009564E0" w:rsidRPr="009564E0" w:rsidRDefault="009564E0" w:rsidP="009564E0">
            <w:r w:rsidRPr="009564E0">
              <w:t>3.3. Demonstrate skill in carrying out mathematical (e.g. algebraic, geometric, logical, statistical) procedures flexibly, accurately, and efficiently to solve problems.</w:t>
            </w:r>
          </w:p>
        </w:tc>
        <w:tc>
          <w:tcPr>
            <w:tcW w:w="2590" w:type="dxa"/>
          </w:tcPr>
          <w:p w:rsidR="009564E0" w:rsidRPr="009564E0" w:rsidRDefault="009564E0" w:rsidP="009564E0">
            <w:r w:rsidRPr="009564E0">
              <w:t>Calculations attempted are essentially all successful and sufficiently comprehensive to solve the problem. Calculations are also presented elegantly (clearly, concisely, etc.)</w:t>
            </w:r>
          </w:p>
        </w:tc>
        <w:tc>
          <w:tcPr>
            <w:tcW w:w="2590" w:type="dxa"/>
          </w:tcPr>
          <w:p w:rsidR="009564E0" w:rsidRPr="009564E0" w:rsidRDefault="009564E0" w:rsidP="009564E0">
            <w:r w:rsidRPr="009564E0">
              <w:t>Calculations attempted are essentially all successful and sufficiently comprehensive to solve the problem.</w:t>
            </w:r>
          </w:p>
        </w:tc>
        <w:tc>
          <w:tcPr>
            <w:tcW w:w="2590" w:type="dxa"/>
          </w:tcPr>
          <w:p w:rsidR="009564E0" w:rsidRPr="009564E0" w:rsidRDefault="009564E0" w:rsidP="009564E0">
            <w:r w:rsidRPr="009564E0">
              <w:t>Calculations attempted are either unsuccessful or represent only a portion of the calculations required to comprehensively solve the problem.</w:t>
            </w:r>
          </w:p>
        </w:tc>
        <w:tc>
          <w:tcPr>
            <w:tcW w:w="2590" w:type="dxa"/>
          </w:tcPr>
          <w:p w:rsidR="009564E0" w:rsidRPr="009564E0" w:rsidRDefault="009564E0" w:rsidP="009564E0">
            <w:r w:rsidRPr="009564E0">
              <w:t>Calculations are attempted but are both unsuccessful and are not comprehensive.</w:t>
            </w:r>
          </w:p>
        </w:tc>
      </w:tr>
      <w:tr w:rsidR="009564E0" w:rsidRPr="009564E0" w:rsidTr="0007185A">
        <w:tc>
          <w:tcPr>
            <w:tcW w:w="2590" w:type="dxa"/>
          </w:tcPr>
          <w:p w:rsidR="009564E0" w:rsidRPr="009564E0" w:rsidRDefault="009564E0" w:rsidP="009564E0">
            <w:r w:rsidRPr="009564E0">
              <w:t>3.4. Analyze mathematical arguments, determining whether stated conclusions can be inferred.</w:t>
            </w:r>
          </w:p>
        </w:tc>
        <w:tc>
          <w:tcPr>
            <w:tcW w:w="2590" w:type="dxa"/>
          </w:tcPr>
          <w:p w:rsidR="009564E0" w:rsidRPr="009564E0" w:rsidRDefault="009564E0" w:rsidP="009564E0">
            <w:r w:rsidRPr="009564E0">
              <w:t>Uses the quantitative analysis of data as the basis for deep and thoughtful judgments, drawing insightful, carefully qualified conclusions from this work.</w:t>
            </w:r>
          </w:p>
        </w:tc>
        <w:tc>
          <w:tcPr>
            <w:tcW w:w="2590" w:type="dxa"/>
          </w:tcPr>
          <w:p w:rsidR="009564E0" w:rsidRPr="009564E0" w:rsidRDefault="009564E0" w:rsidP="009564E0">
            <w:r w:rsidRPr="009564E0">
              <w:t>Uses the quantitative analysis of data as the basis for competent judgments, drawing reasonable and appropriately qualified conclusions from this work.</w:t>
            </w:r>
          </w:p>
        </w:tc>
        <w:tc>
          <w:tcPr>
            <w:tcW w:w="2590" w:type="dxa"/>
          </w:tcPr>
          <w:p w:rsidR="009564E0" w:rsidRPr="009564E0" w:rsidRDefault="009564E0" w:rsidP="009564E0">
            <w:r w:rsidRPr="009564E0">
              <w:t>Uses the quantitative analysis of data as the basis for workmanlike (without inspiration or nuance, ordinary) judgments, drawing plausible conclusions from this work.</w:t>
            </w:r>
          </w:p>
        </w:tc>
        <w:tc>
          <w:tcPr>
            <w:tcW w:w="2590" w:type="dxa"/>
          </w:tcPr>
          <w:p w:rsidR="009564E0" w:rsidRPr="009564E0" w:rsidRDefault="009564E0" w:rsidP="009564E0">
            <w:r w:rsidRPr="009564E0">
              <w:t>Uses the quantitative analysis of data as the basis for tentative, basic judgments, although is hesitant or uncertain about drawing conclusions from this work.</w:t>
            </w:r>
          </w:p>
        </w:tc>
      </w:tr>
      <w:tr w:rsidR="009564E0" w:rsidRPr="009564E0" w:rsidTr="0007185A">
        <w:tc>
          <w:tcPr>
            <w:tcW w:w="2590" w:type="dxa"/>
          </w:tcPr>
          <w:p w:rsidR="009564E0" w:rsidRPr="009564E0" w:rsidRDefault="009564E0" w:rsidP="009564E0">
            <w:r w:rsidRPr="009564E0">
              <w:t>3.5. Communicate which assumptions have been made in the solution process.</w:t>
            </w:r>
          </w:p>
        </w:tc>
        <w:tc>
          <w:tcPr>
            <w:tcW w:w="2590" w:type="dxa"/>
          </w:tcPr>
          <w:p w:rsidR="009564E0" w:rsidRPr="009564E0" w:rsidRDefault="009564E0" w:rsidP="009564E0">
            <w:r w:rsidRPr="009564E0">
              <w:t>Explicitly describes assumptions and provides compelling rationale for why each assumption is appropriate. Shows awareness that confidence in final conclusions is limited by the accuracy of the assumptions.</w:t>
            </w:r>
          </w:p>
        </w:tc>
        <w:tc>
          <w:tcPr>
            <w:tcW w:w="2590" w:type="dxa"/>
          </w:tcPr>
          <w:p w:rsidR="009564E0" w:rsidRPr="009564E0" w:rsidRDefault="009564E0" w:rsidP="009564E0">
            <w:r w:rsidRPr="009564E0">
              <w:t>Explicitly describes assumptions and provides compelling rationale for why assumptions are appropriate.</w:t>
            </w:r>
          </w:p>
        </w:tc>
        <w:tc>
          <w:tcPr>
            <w:tcW w:w="2590" w:type="dxa"/>
          </w:tcPr>
          <w:p w:rsidR="009564E0" w:rsidRPr="009564E0" w:rsidRDefault="009564E0" w:rsidP="009564E0">
            <w:r w:rsidRPr="009564E0">
              <w:t>Explicitly describes assumptions.</w:t>
            </w:r>
          </w:p>
        </w:tc>
        <w:tc>
          <w:tcPr>
            <w:tcW w:w="2590" w:type="dxa"/>
          </w:tcPr>
          <w:p w:rsidR="009564E0" w:rsidRPr="009564E0" w:rsidRDefault="009564E0" w:rsidP="009564E0">
            <w:r w:rsidRPr="009564E0">
              <w:t>Attempts to describe assumptions.</w:t>
            </w:r>
          </w:p>
        </w:tc>
      </w:tr>
    </w:tbl>
    <w:p w:rsidR="009564E0" w:rsidRPr="009564E0" w:rsidRDefault="009564E0" w:rsidP="009564E0">
      <w:pPr>
        <w:rPr>
          <w:rFonts w:asciiTheme="minorHAnsi" w:hAnsiTheme="minorHAnsi" w:cstheme="minorBidi"/>
          <w:sz w:val="22"/>
          <w:szCs w:val="22"/>
        </w:rPr>
      </w:pPr>
    </w:p>
    <w:p w:rsidR="009564E0" w:rsidRPr="009564E0" w:rsidRDefault="009564E0" w:rsidP="009564E0">
      <w:pPr>
        <w:rPr>
          <w:rFonts w:asciiTheme="minorHAnsi" w:hAnsiTheme="minorHAnsi" w:cstheme="minorBidi"/>
          <w:sz w:val="22"/>
          <w:szCs w:val="22"/>
        </w:rPr>
      </w:pPr>
    </w:p>
    <w:tbl>
      <w:tblPr>
        <w:tblStyle w:val="TableGrid1"/>
        <w:tblpPr w:leftFromText="180" w:rightFromText="180" w:vertAnchor="text" w:horzAnchor="margin" w:tblpY="-479"/>
        <w:tblW w:w="0" w:type="auto"/>
        <w:tblLook w:val="04A0" w:firstRow="1" w:lastRow="0" w:firstColumn="1" w:lastColumn="0" w:noHBand="0" w:noVBand="1"/>
      </w:tblPr>
      <w:tblGrid>
        <w:gridCol w:w="2590"/>
        <w:gridCol w:w="2590"/>
        <w:gridCol w:w="2590"/>
        <w:gridCol w:w="2590"/>
        <w:gridCol w:w="2590"/>
      </w:tblGrid>
      <w:tr w:rsidR="00B94692" w:rsidRPr="009564E0" w:rsidTr="00B94692">
        <w:tc>
          <w:tcPr>
            <w:tcW w:w="2590" w:type="dxa"/>
          </w:tcPr>
          <w:p w:rsidR="00B94692" w:rsidRPr="009564E0" w:rsidRDefault="00B94692" w:rsidP="00B94692">
            <w:pPr>
              <w:spacing w:after="160" w:line="259" w:lineRule="auto"/>
              <w:rPr>
                <w:b/>
              </w:rPr>
            </w:pPr>
          </w:p>
        </w:tc>
        <w:tc>
          <w:tcPr>
            <w:tcW w:w="10360" w:type="dxa"/>
            <w:gridSpan w:val="4"/>
          </w:tcPr>
          <w:p w:rsidR="00B94692" w:rsidRPr="009564E0" w:rsidRDefault="00B94692" w:rsidP="00B94692">
            <w:pPr>
              <w:spacing w:after="160" w:line="259" w:lineRule="auto"/>
              <w:rPr>
                <w:b/>
              </w:rPr>
            </w:pPr>
            <w:r w:rsidRPr="009564E0">
              <w:rPr>
                <w:b/>
              </w:rPr>
              <w:t>IPFW General Education Rubric (Grounded in AAC&amp;U Value Rubrics)– Quantitative Reasoning</w:t>
            </w:r>
          </w:p>
        </w:tc>
      </w:tr>
      <w:tr w:rsidR="00B94692" w:rsidRPr="009564E0" w:rsidTr="00B94692">
        <w:tc>
          <w:tcPr>
            <w:tcW w:w="2590" w:type="dxa"/>
            <w:vMerge w:val="restart"/>
          </w:tcPr>
          <w:p w:rsidR="00B94692" w:rsidRPr="009564E0" w:rsidRDefault="00B94692" w:rsidP="00B94692">
            <w:pPr>
              <w:spacing w:after="160" w:line="259" w:lineRule="auto"/>
            </w:pPr>
            <w:r w:rsidRPr="009564E0">
              <w:rPr>
                <w:b/>
              </w:rPr>
              <w:t>IPFW General Education Student Learning Outcomes</w:t>
            </w:r>
          </w:p>
        </w:tc>
        <w:tc>
          <w:tcPr>
            <w:tcW w:w="2590" w:type="dxa"/>
            <w:vMerge w:val="restart"/>
          </w:tcPr>
          <w:p w:rsidR="00B94692" w:rsidRPr="009564E0" w:rsidRDefault="00B94692" w:rsidP="00B94692">
            <w:pPr>
              <w:spacing w:after="160" w:line="259" w:lineRule="auto"/>
              <w:jc w:val="center"/>
              <w:rPr>
                <w:b/>
              </w:rPr>
            </w:pPr>
            <w:r w:rsidRPr="009564E0">
              <w:rPr>
                <w:b/>
              </w:rPr>
              <w:t>Capstone</w:t>
            </w:r>
          </w:p>
          <w:p w:rsidR="00B94692" w:rsidRPr="009564E0" w:rsidRDefault="00B94692" w:rsidP="00B94692">
            <w:pPr>
              <w:spacing w:after="160" w:line="259" w:lineRule="auto"/>
              <w:jc w:val="center"/>
              <w:rPr>
                <w:b/>
              </w:rPr>
            </w:pPr>
            <w:r w:rsidRPr="009564E0">
              <w:rPr>
                <w:b/>
              </w:rPr>
              <w:t>4</w:t>
            </w:r>
          </w:p>
        </w:tc>
        <w:tc>
          <w:tcPr>
            <w:tcW w:w="5180" w:type="dxa"/>
            <w:gridSpan w:val="2"/>
          </w:tcPr>
          <w:p w:rsidR="00B94692" w:rsidRPr="009564E0" w:rsidRDefault="00B94692" w:rsidP="00B94692">
            <w:pPr>
              <w:spacing w:after="160" w:line="259" w:lineRule="auto"/>
              <w:jc w:val="center"/>
              <w:rPr>
                <w:b/>
              </w:rPr>
            </w:pPr>
            <w:r w:rsidRPr="009564E0">
              <w:rPr>
                <w:b/>
              </w:rPr>
              <w:t>Milestones</w:t>
            </w:r>
          </w:p>
        </w:tc>
        <w:tc>
          <w:tcPr>
            <w:tcW w:w="2590" w:type="dxa"/>
            <w:vMerge w:val="restart"/>
          </w:tcPr>
          <w:p w:rsidR="00B94692" w:rsidRPr="009564E0" w:rsidRDefault="00B94692" w:rsidP="00B94692">
            <w:pPr>
              <w:spacing w:after="160" w:line="259" w:lineRule="auto"/>
              <w:jc w:val="center"/>
              <w:rPr>
                <w:b/>
              </w:rPr>
            </w:pPr>
            <w:r w:rsidRPr="009564E0">
              <w:rPr>
                <w:b/>
              </w:rPr>
              <w:t>Benchmark</w:t>
            </w:r>
          </w:p>
          <w:p w:rsidR="00B94692" w:rsidRPr="009564E0" w:rsidRDefault="00B94692" w:rsidP="00B94692">
            <w:pPr>
              <w:spacing w:after="160" w:line="259" w:lineRule="auto"/>
              <w:jc w:val="center"/>
              <w:rPr>
                <w:b/>
              </w:rPr>
            </w:pPr>
            <w:r w:rsidRPr="009564E0">
              <w:rPr>
                <w:b/>
              </w:rPr>
              <w:t>1</w:t>
            </w:r>
          </w:p>
        </w:tc>
      </w:tr>
      <w:tr w:rsidR="00B94692" w:rsidRPr="009564E0" w:rsidTr="00B94692">
        <w:tc>
          <w:tcPr>
            <w:tcW w:w="2590" w:type="dxa"/>
            <w:vMerge/>
          </w:tcPr>
          <w:p w:rsidR="00B94692" w:rsidRPr="009564E0" w:rsidRDefault="00B94692" w:rsidP="00B94692">
            <w:pPr>
              <w:spacing w:after="160" w:line="259" w:lineRule="auto"/>
            </w:pPr>
          </w:p>
        </w:tc>
        <w:tc>
          <w:tcPr>
            <w:tcW w:w="2590" w:type="dxa"/>
            <w:vMerge/>
          </w:tcPr>
          <w:p w:rsidR="00B94692" w:rsidRPr="009564E0" w:rsidRDefault="00B94692" w:rsidP="00B94692">
            <w:pPr>
              <w:spacing w:after="160" w:line="259" w:lineRule="auto"/>
            </w:pPr>
          </w:p>
        </w:tc>
        <w:tc>
          <w:tcPr>
            <w:tcW w:w="2590" w:type="dxa"/>
          </w:tcPr>
          <w:p w:rsidR="00B94692" w:rsidRPr="009564E0" w:rsidRDefault="00B94692" w:rsidP="00B94692">
            <w:pPr>
              <w:spacing w:after="160" w:line="259" w:lineRule="auto"/>
              <w:jc w:val="center"/>
              <w:rPr>
                <w:b/>
              </w:rPr>
            </w:pPr>
            <w:r w:rsidRPr="009564E0">
              <w:rPr>
                <w:b/>
              </w:rPr>
              <w:t>3</w:t>
            </w:r>
          </w:p>
        </w:tc>
        <w:tc>
          <w:tcPr>
            <w:tcW w:w="2590" w:type="dxa"/>
          </w:tcPr>
          <w:p w:rsidR="00B94692" w:rsidRPr="009564E0" w:rsidRDefault="00B94692" w:rsidP="00B94692">
            <w:pPr>
              <w:spacing w:after="160" w:line="259" w:lineRule="auto"/>
              <w:jc w:val="center"/>
              <w:rPr>
                <w:b/>
              </w:rPr>
            </w:pPr>
            <w:r w:rsidRPr="009564E0">
              <w:rPr>
                <w:b/>
              </w:rPr>
              <w:t>2</w:t>
            </w:r>
          </w:p>
        </w:tc>
        <w:tc>
          <w:tcPr>
            <w:tcW w:w="2590" w:type="dxa"/>
            <w:vMerge/>
          </w:tcPr>
          <w:p w:rsidR="00B94692" w:rsidRPr="009564E0" w:rsidRDefault="00B94692" w:rsidP="00B94692">
            <w:pPr>
              <w:spacing w:after="160" w:line="259" w:lineRule="auto"/>
            </w:pPr>
          </w:p>
        </w:tc>
      </w:tr>
      <w:tr w:rsidR="00B94692" w:rsidRPr="009564E0" w:rsidTr="00B94692">
        <w:tc>
          <w:tcPr>
            <w:tcW w:w="2590" w:type="dxa"/>
          </w:tcPr>
          <w:p w:rsidR="00B94692" w:rsidRPr="009564E0" w:rsidRDefault="00B94692" w:rsidP="00B94692">
            <w:commentRangeStart w:id="6"/>
            <w:r w:rsidRPr="009564E0">
              <w:t>3.6. Analyze mathematical results in order to determine the reasonableness of the solution.</w:t>
            </w:r>
            <w:commentRangeEnd w:id="6"/>
            <w:r w:rsidRPr="009564E0">
              <w:rPr>
                <w:sz w:val="16"/>
                <w:szCs w:val="16"/>
              </w:rPr>
              <w:commentReference w:id="6"/>
            </w:r>
          </w:p>
        </w:tc>
        <w:tc>
          <w:tcPr>
            <w:tcW w:w="2590" w:type="dxa"/>
          </w:tcPr>
          <w:p w:rsidR="00B94692" w:rsidRPr="009564E0" w:rsidRDefault="00B94692" w:rsidP="00B94692">
            <w:r w:rsidRPr="009564E0">
              <w:t>Uses the quantitative analysis of data as the basis for deep and thoughtful judgments, drawing insightful, carefully qualified conclusions from this work.</w:t>
            </w:r>
          </w:p>
        </w:tc>
        <w:tc>
          <w:tcPr>
            <w:tcW w:w="2590" w:type="dxa"/>
          </w:tcPr>
          <w:p w:rsidR="00B94692" w:rsidRPr="009564E0" w:rsidRDefault="00B94692" w:rsidP="00B94692">
            <w:r w:rsidRPr="009564E0">
              <w:t>Uses the quantitative analysis of data as the basis for competent judgments, drawing reasonable and appropriately qualified conclusions from this work.</w:t>
            </w:r>
          </w:p>
        </w:tc>
        <w:tc>
          <w:tcPr>
            <w:tcW w:w="2590" w:type="dxa"/>
          </w:tcPr>
          <w:p w:rsidR="00B94692" w:rsidRPr="009564E0" w:rsidRDefault="00B94692" w:rsidP="00B94692">
            <w:r w:rsidRPr="009564E0">
              <w:t>Uses the quantitative analysis of data as the basis for workmanlike (without inspiration or nuance, ordinary) judgments, drawing plausible conclusions from this work.</w:t>
            </w:r>
          </w:p>
        </w:tc>
        <w:tc>
          <w:tcPr>
            <w:tcW w:w="2590" w:type="dxa"/>
          </w:tcPr>
          <w:p w:rsidR="00B94692" w:rsidRPr="009564E0" w:rsidRDefault="00B94692" w:rsidP="00B94692">
            <w:r w:rsidRPr="009564E0">
              <w:t>Uses the quantitative analysis of data as the basis for tentative, basic judgments, although is hesitant or uncertain about drawing conclusions from this work.</w:t>
            </w:r>
          </w:p>
        </w:tc>
      </w:tr>
      <w:tr w:rsidR="00B94692" w:rsidRPr="009564E0" w:rsidTr="00B94692">
        <w:tc>
          <w:tcPr>
            <w:tcW w:w="2590" w:type="dxa"/>
          </w:tcPr>
          <w:p w:rsidR="00B94692" w:rsidRPr="009564E0" w:rsidRDefault="00B94692" w:rsidP="00B94692">
            <w:r w:rsidRPr="009564E0">
              <w:t>3.7. Cite the limitations of the process where applicable.</w:t>
            </w:r>
          </w:p>
        </w:tc>
        <w:tc>
          <w:tcPr>
            <w:tcW w:w="2590" w:type="dxa"/>
          </w:tcPr>
          <w:p w:rsidR="00B94692" w:rsidRPr="009564E0" w:rsidRDefault="00B94692" w:rsidP="00B94692">
            <w:commentRangeStart w:id="7"/>
            <w:r w:rsidRPr="009564E0">
              <w:t>Explicitly describes assumptions and provides compelling rationale for why each assumption is appropriate. Shows awareness that confidence in final conclusions is limited by the accuracy of the assumptions.</w:t>
            </w:r>
            <w:commentRangeEnd w:id="7"/>
            <w:r w:rsidRPr="009564E0">
              <w:rPr>
                <w:sz w:val="16"/>
                <w:szCs w:val="16"/>
              </w:rPr>
              <w:commentReference w:id="7"/>
            </w:r>
          </w:p>
        </w:tc>
        <w:tc>
          <w:tcPr>
            <w:tcW w:w="2590" w:type="dxa"/>
          </w:tcPr>
          <w:p w:rsidR="00B94692" w:rsidRPr="009564E0" w:rsidRDefault="00B94692" w:rsidP="00B94692">
            <w:r w:rsidRPr="009564E0">
              <w:t>Explicitly describes assumptions and provides compelling rationale for why assumptions are appropriate.</w:t>
            </w:r>
          </w:p>
        </w:tc>
        <w:tc>
          <w:tcPr>
            <w:tcW w:w="2590" w:type="dxa"/>
          </w:tcPr>
          <w:p w:rsidR="00B94692" w:rsidRPr="009564E0" w:rsidRDefault="00B94692" w:rsidP="00B94692">
            <w:r w:rsidRPr="009564E0">
              <w:t>Explicitly describes assumptions.</w:t>
            </w:r>
          </w:p>
        </w:tc>
        <w:tc>
          <w:tcPr>
            <w:tcW w:w="2590" w:type="dxa"/>
          </w:tcPr>
          <w:p w:rsidR="00B94692" w:rsidRPr="009564E0" w:rsidRDefault="00B94692" w:rsidP="00B94692">
            <w:r w:rsidRPr="009564E0">
              <w:t>Attempts to describe assumptions.</w:t>
            </w:r>
          </w:p>
        </w:tc>
      </w:tr>
      <w:tr w:rsidR="00B94692" w:rsidRPr="009564E0" w:rsidTr="00B94692">
        <w:tc>
          <w:tcPr>
            <w:tcW w:w="2590" w:type="dxa"/>
          </w:tcPr>
          <w:p w:rsidR="00B94692" w:rsidRPr="009564E0" w:rsidRDefault="00B94692" w:rsidP="00B94692">
            <w:r w:rsidRPr="009564E0">
              <w:t>3.8. Clearly explain the representation, solution, and interpretation of the math problem.</w:t>
            </w:r>
          </w:p>
        </w:tc>
        <w:tc>
          <w:tcPr>
            <w:tcW w:w="2590" w:type="dxa"/>
          </w:tcPr>
          <w:p w:rsidR="00B94692" w:rsidRPr="009564E0" w:rsidRDefault="00B94692" w:rsidP="00B94692">
            <w:r w:rsidRPr="009564E0">
              <w:t>Uses quantitative information in connection with the argument or purpose of the work, presents it in an effective format, and explicates it with consistently high quality.</w:t>
            </w:r>
          </w:p>
        </w:tc>
        <w:tc>
          <w:tcPr>
            <w:tcW w:w="2590" w:type="dxa"/>
          </w:tcPr>
          <w:p w:rsidR="00B94692" w:rsidRPr="009564E0" w:rsidRDefault="00B94692" w:rsidP="00B94692">
            <w:r w:rsidRPr="009564E0">
              <w:t>Uses quantitative information in connection with the argument or purpose of the work, though data may be presented in a less than completely effective format or some parts of the explication may be uneven.</w:t>
            </w:r>
          </w:p>
        </w:tc>
        <w:tc>
          <w:tcPr>
            <w:tcW w:w="2590" w:type="dxa"/>
          </w:tcPr>
          <w:p w:rsidR="00B94692" w:rsidRPr="009564E0" w:rsidRDefault="00B94692" w:rsidP="00B94692">
            <w:r w:rsidRPr="009564E0">
              <w:t>Uses quantit</w:t>
            </w:r>
            <w:r w:rsidR="008E337D">
              <w:t xml:space="preserve">ative information, but does not </w:t>
            </w:r>
            <w:r w:rsidRPr="009564E0">
              <w:t>effectively connect it to the argument or purpose of the work.</w:t>
            </w:r>
          </w:p>
        </w:tc>
        <w:tc>
          <w:tcPr>
            <w:tcW w:w="2590" w:type="dxa"/>
          </w:tcPr>
          <w:p w:rsidR="00B94692" w:rsidRPr="009564E0" w:rsidRDefault="00B94692" w:rsidP="00B94692">
            <w:r w:rsidRPr="009564E0">
              <w:t>Presents an argument for which quantitative evidence is pertinent, but does not provide adequate explicit numerical support. (May use quasi-quantitative words such as "many," "few," "increasing," "small," and the like in place of actual quantities.)</w:t>
            </w:r>
          </w:p>
        </w:tc>
      </w:tr>
    </w:tbl>
    <w:p w:rsidR="009564E0" w:rsidRPr="00B94692" w:rsidRDefault="009564E0" w:rsidP="00B94692">
      <w:pPr>
        <w:rPr>
          <w:rFonts w:asciiTheme="minorHAnsi" w:hAnsiTheme="minorHAnsi" w:cstheme="minorBidi"/>
          <w:sz w:val="22"/>
          <w:szCs w:val="22"/>
        </w:rPr>
      </w:pPr>
    </w:p>
    <w:sectPr w:rsidR="009564E0" w:rsidRPr="00B94692" w:rsidSect="009564E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nt Johnson" w:date="2015-08-26T08:43:00Z" w:initials="KJ">
    <w:p w:rsidR="000C3771" w:rsidRDefault="000C3771" w:rsidP="009564E0">
      <w:pPr>
        <w:pStyle w:val="CommentText"/>
      </w:pPr>
      <w:r>
        <w:rPr>
          <w:rStyle w:val="CommentReference"/>
        </w:rPr>
        <w:annotationRef/>
      </w:r>
      <w:r>
        <w:t>This seems to get at a “process” that is not really captured in the AAC&amp;U VR’s.  Not sure what a good metric for this is.</w:t>
      </w:r>
    </w:p>
  </w:comment>
  <w:comment w:id="1" w:author="Debrah Huffman" w:date="2015-08-31T10:31:00Z" w:initials="DH">
    <w:p w:rsidR="000C3771" w:rsidRDefault="000C3771" w:rsidP="009564E0">
      <w:pPr>
        <w:pStyle w:val="CommentText"/>
      </w:pPr>
      <w:r>
        <w:rPr>
          <w:rStyle w:val="CommentReference"/>
        </w:rPr>
        <w:annotationRef/>
      </w:r>
      <w:r>
        <w:t>I used the Teamwork VR for part of this suggested language.</w:t>
      </w:r>
    </w:p>
  </w:comment>
  <w:comment w:id="2" w:author="Kent Johnson" w:date="2015-08-26T08:38:00Z" w:initials="KJ">
    <w:p w:rsidR="000C3771" w:rsidRDefault="000C3771" w:rsidP="009564E0">
      <w:pPr>
        <w:pStyle w:val="CommentText"/>
      </w:pPr>
      <w:r>
        <w:rPr>
          <w:rStyle w:val="CommentReference"/>
        </w:rPr>
        <w:annotationRef/>
      </w:r>
      <w:r>
        <w:rPr>
          <w:rStyle w:val="CommentReference"/>
        </w:rPr>
        <w:t>Could use “language” in the OC Value Rubric but does “appropriate to audience” capture what faculty had in mind – Included but not sure.</w:t>
      </w:r>
    </w:p>
  </w:comment>
  <w:comment w:id="3" w:author="Kent Johnson" w:date="2015-08-26T08:52:00Z" w:initials="KJ">
    <w:p w:rsidR="000C3771" w:rsidRDefault="000C3771" w:rsidP="009564E0">
      <w:pPr>
        <w:pStyle w:val="CommentText"/>
      </w:pPr>
      <w:r>
        <w:rPr>
          <w:rStyle w:val="CommentReference"/>
        </w:rPr>
        <w:annotationRef/>
      </w:r>
      <w:r>
        <w:rPr>
          <w:rStyle w:val="CommentReference"/>
        </w:rPr>
        <w:t>Does this rubric (from Critical Thinking VR) “go beyond” the expectation? In other words is “advance an argument” equivalent to “drawing a conclusion”?  As I am not a communication specialist, I am not sure?</w:t>
      </w:r>
    </w:p>
  </w:comment>
  <w:comment w:id="4" w:author="Kent Johnson" w:date="2015-08-26T09:09:00Z" w:initials="KJ">
    <w:p w:rsidR="000C3771" w:rsidRDefault="000C3771" w:rsidP="009564E0">
      <w:pPr>
        <w:pStyle w:val="CommentText"/>
      </w:pPr>
      <w:r>
        <w:rPr>
          <w:rStyle w:val="CommentReference"/>
        </w:rPr>
        <w:annotationRef/>
      </w:r>
      <w:r>
        <w:t xml:space="preserve">While demonstrating the competencies from this particular “Ethical Reasoning” value rubrics appears to support the statement in 2.6, it might not be assessing the “intent” of the outcome.  The VR seems to be more focused on application of ethics from a disciplinary perspective while the IPFW GE Outcome appears to focus on “responsibility”.  </w:t>
      </w:r>
    </w:p>
  </w:comment>
  <w:comment w:id="5" w:author="Kent Johnson" w:date="2015-08-26T09:56:00Z" w:initials="KJ">
    <w:p w:rsidR="000C3771" w:rsidRDefault="000C3771" w:rsidP="009564E0">
      <w:pPr>
        <w:pStyle w:val="CommentText"/>
      </w:pPr>
      <w:r>
        <w:rPr>
          <w:rStyle w:val="CommentReference"/>
        </w:rPr>
        <w:annotationRef/>
      </w:r>
      <w:r>
        <w:t>This particular outcome is not addressed effectively in the AAC&amp;U VR’s</w:t>
      </w:r>
    </w:p>
  </w:comment>
  <w:comment w:id="6" w:author="Kent Johnson" w:date="2015-08-26T10:39:00Z" w:initials="KJ">
    <w:p w:rsidR="000C3771" w:rsidRDefault="000C3771" w:rsidP="00B94692">
      <w:pPr>
        <w:pStyle w:val="CommentText"/>
      </w:pPr>
      <w:r>
        <w:rPr>
          <w:rStyle w:val="CommentReference"/>
        </w:rPr>
        <w:annotationRef/>
      </w:r>
      <w:r>
        <w:t>As a starting place, I viewed 3.4 and 3.6 as two pieces of a larger conceptualization of “analyze” used in the AAC&amp;U VR – This, however, is at best, a limited perspective as I am not the subject matter expert.  But, it gives us a starting place.</w:t>
      </w:r>
    </w:p>
  </w:comment>
  <w:comment w:id="7" w:author="Kent Johnson" w:date="2015-08-26T10:40:00Z" w:initials="KJ">
    <w:p w:rsidR="000C3771" w:rsidRDefault="000C3771" w:rsidP="00B94692">
      <w:pPr>
        <w:pStyle w:val="CommentText"/>
      </w:pPr>
      <w:r>
        <w:rPr>
          <w:rStyle w:val="CommentReference"/>
        </w:rPr>
        <w:annotationRef/>
      </w:r>
      <w:r>
        <w:rPr>
          <w:rStyle w:val="CommentReference"/>
        </w:rPr>
        <w:t>Are “citing limitations” assumed as part of describing assumptions where part of the requirement is “awareness that confidence in final conclusions are limited by the accuracy of the assumptions”?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82" w:rsidRDefault="00E74D82" w:rsidP="00E55063">
      <w:pPr>
        <w:spacing w:after="0" w:line="240" w:lineRule="auto"/>
      </w:pPr>
      <w:r>
        <w:separator/>
      </w:r>
    </w:p>
  </w:endnote>
  <w:endnote w:type="continuationSeparator" w:id="0">
    <w:p w:rsidR="00E74D82" w:rsidRDefault="00E74D82" w:rsidP="00E5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771" w:rsidRDefault="000C37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771" w:rsidRDefault="000C3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771" w:rsidRDefault="000C3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82" w:rsidRDefault="00E74D82" w:rsidP="00E55063">
      <w:pPr>
        <w:spacing w:after="0" w:line="240" w:lineRule="auto"/>
      </w:pPr>
      <w:r>
        <w:separator/>
      </w:r>
    </w:p>
  </w:footnote>
  <w:footnote w:type="continuationSeparator" w:id="0">
    <w:p w:rsidR="00E74D82" w:rsidRDefault="00E74D82" w:rsidP="00E55063">
      <w:pPr>
        <w:spacing w:after="0" w:line="240" w:lineRule="auto"/>
      </w:pPr>
      <w:r>
        <w:continuationSeparator/>
      </w:r>
    </w:p>
  </w:footnote>
  <w:footnote w:id="1">
    <w:p w:rsidR="000C3771" w:rsidRDefault="000C3771">
      <w:pPr>
        <w:pStyle w:val="FootnoteText"/>
      </w:pPr>
      <w:r>
        <w:rPr>
          <w:rStyle w:val="FootnoteReference"/>
        </w:rPr>
        <w:footnoteRef/>
      </w:r>
      <w:r>
        <w:t xml:space="preserve"> The proposal assumes a structural change in the general education program as discussed in the "Course Sequencing and Advising Recommendations" section.  Specifically, the interdisciplinary/creative ways of knowing requirement is removed from the ways of knowing category. Interdisciplinary and Creative Ways of Knowing courses are redesigned as 300 level "Cornerstone Courses" to bridge general education and the major.  This change creates an "upper division" core that includes the Cornerstone Course and the Capstone Course.</w:t>
      </w:r>
    </w:p>
  </w:footnote>
  <w:footnote w:id="2">
    <w:p w:rsidR="000C3771" w:rsidRPr="00E55063" w:rsidRDefault="000C3771" w:rsidP="00576817">
      <w:pPr>
        <w:pStyle w:val="NoSpacing"/>
        <w:rPr>
          <w:sz w:val="20"/>
          <w:szCs w:val="20"/>
        </w:rPr>
      </w:pPr>
      <w:r w:rsidRPr="00E55063">
        <w:rPr>
          <w:rStyle w:val="EndnoteReference"/>
          <w:sz w:val="20"/>
          <w:szCs w:val="20"/>
        </w:rPr>
        <w:footnoteRef/>
      </w:r>
      <w:r w:rsidRPr="00E55063">
        <w:rPr>
          <w:sz w:val="20"/>
          <w:szCs w:val="20"/>
        </w:rPr>
        <w:t xml:space="preserve"> The basic research design treats the assessment instrument as part of the treatment (in this case the instructional design) and the reported results are treated as an observation.  The assessment design can be presented schematically following Campbell and Stanley (1963) as a form of quasi-experimentation.  The specific design is cast in the context </w:t>
      </w:r>
      <w:r>
        <w:rPr>
          <w:sz w:val="20"/>
          <w:szCs w:val="20"/>
        </w:rPr>
        <w:t>comparing two different sections of a single course or evaluating the effect of a curricular change in Year 2 within a single course.</w:t>
      </w:r>
      <w:r w:rsidRPr="00E55063">
        <w:rPr>
          <w:sz w:val="20"/>
          <w:szCs w:val="20"/>
        </w:rPr>
        <w:t xml:space="preserve">    </w:t>
      </w:r>
    </w:p>
    <w:p w:rsidR="000C3771" w:rsidRPr="00E55063" w:rsidRDefault="000C3771" w:rsidP="00576817">
      <w:pPr>
        <w:pStyle w:val="NoSpacing"/>
        <w:rPr>
          <w:sz w:val="20"/>
          <w:szCs w:val="20"/>
        </w:rPr>
      </w:pPr>
    </w:p>
    <w:p w:rsidR="000C3771" w:rsidRPr="00E55063" w:rsidRDefault="000C3771" w:rsidP="00576817">
      <w:pPr>
        <w:pStyle w:val="NoSpacing"/>
        <w:rPr>
          <w:sz w:val="20"/>
          <w:szCs w:val="20"/>
        </w:rPr>
      </w:pPr>
      <w:r w:rsidRPr="00E55063">
        <w:rPr>
          <w:sz w:val="20"/>
          <w:szCs w:val="20"/>
        </w:rPr>
        <w:t xml:space="preserve">Year 1 Semester 1 (cohort 1): O1 - XO2 - </w:t>
      </w:r>
    </w:p>
    <w:p w:rsidR="000C3771" w:rsidRPr="00E55063" w:rsidRDefault="000C3771" w:rsidP="00576817">
      <w:pPr>
        <w:pStyle w:val="NoSpacing"/>
        <w:ind w:firstLine="720"/>
        <w:rPr>
          <w:sz w:val="20"/>
          <w:szCs w:val="20"/>
        </w:rPr>
      </w:pPr>
      <w:r w:rsidRPr="00E55063">
        <w:rPr>
          <w:sz w:val="20"/>
          <w:szCs w:val="20"/>
        </w:rPr>
        <w:t>Year 1 Semester 2 (cohort 2): O3 - XO</w:t>
      </w:r>
      <w:r>
        <w:rPr>
          <w:sz w:val="20"/>
          <w:szCs w:val="20"/>
        </w:rPr>
        <w:t>4</w:t>
      </w:r>
    </w:p>
    <w:p w:rsidR="000C3771" w:rsidRPr="00E55063" w:rsidRDefault="000C3771" w:rsidP="00576817">
      <w:pPr>
        <w:pStyle w:val="NoSpacing"/>
        <w:rPr>
          <w:sz w:val="20"/>
          <w:szCs w:val="20"/>
        </w:rPr>
      </w:pPr>
    </w:p>
    <w:p w:rsidR="000C3771" w:rsidRPr="00E55063" w:rsidRDefault="000C3771" w:rsidP="00576817">
      <w:pPr>
        <w:pStyle w:val="NoSpacing"/>
        <w:rPr>
          <w:sz w:val="20"/>
          <w:szCs w:val="20"/>
        </w:rPr>
      </w:pPr>
      <w:r w:rsidRPr="00E55063">
        <w:rPr>
          <w:sz w:val="20"/>
          <w:szCs w:val="20"/>
        </w:rPr>
        <w:t xml:space="preserve">Year 2 Semester 1 (cohort 1): O1 - XO2 - </w:t>
      </w:r>
    </w:p>
    <w:p w:rsidR="000C3771" w:rsidRPr="00E55063" w:rsidRDefault="000C3771" w:rsidP="00576817">
      <w:pPr>
        <w:pStyle w:val="NoSpacing"/>
        <w:ind w:firstLine="720"/>
        <w:rPr>
          <w:sz w:val="20"/>
          <w:szCs w:val="20"/>
        </w:rPr>
      </w:pPr>
      <w:r w:rsidRPr="00E55063">
        <w:rPr>
          <w:sz w:val="20"/>
          <w:szCs w:val="20"/>
        </w:rPr>
        <w:t>Year 2 Semester 2 (cohort 2): O3 - XO</w:t>
      </w:r>
      <w:r>
        <w:rPr>
          <w:sz w:val="20"/>
          <w:szCs w:val="20"/>
        </w:rPr>
        <w:t>4</w:t>
      </w:r>
    </w:p>
    <w:p w:rsidR="000C3771" w:rsidRPr="00E55063" w:rsidRDefault="000C3771" w:rsidP="00576817">
      <w:pPr>
        <w:pStyle w:val="NoSpacing"/>
        <w:rPr>
          <w:sz w:val="20"/>
          <w:szCs w:val="20"/>
        </w:rPr>
      </w:pPr>
    </w:p>
    <w:p w:rsidR="000C3771" w:rsidRPr="00E55063" w:rsidRDefault="000C3771" w:rsidP="00576817">
      <w:pPr>
        <w:pStyle w:val="NoSpacing"/>
        <w:rPr>
          <w:sz w:val="20"/>
          <w:szCs w:val="20"/>
        </w:rPr>
      </w:pPr>
      <w:r>
        <w:rPr>
          <w:sz w:val="20"/>
          <w:szCs w:val="20"/>
        </w:rPr>
        <w:t xml:space="preserve">This example assumes an instructional or curricular change in the course e is made at the end of year 1 based on findings of XO2 and XO4.  </w:t>
      </w:r>
      <w:r w:rsidRPr="00E55063">
        <w:rPr>
          <w:sz w:val="20"/>
          <w:szCs w:val="20"/>
        </w:rPr>
        <w:t xml:space="preserve"> </w:t>
      </w:r>
      <w:r>
        <w:rPr>
          <w:sz w:val="20"/>
          <w:szCs w:val="20"/>
        </w:rPr>
        <w:t>At the</w:t>
      </w:r>
      <w:r w:rsidRPr="00E55063">
        <w:rPr>
          <w:sz w:val="20"/>
          <w:szCs w:val="20"/>
        </w:rPr>
        <w:t xml:space="preserve"> end of year 2, one could compare Year 1 performance on the signature assignment to Year 2 performance on the signature assignment to observe if </w:t>
      </w:r>
      <w:r>
        <w:rPr>
          <w:sz w:val="20"/>
          <w:szCs w:val="20"/>
        </w:rPr>
        <w:t xml:space="preserve">differences in instructional strategy between two sections result in differences in achievement relative to the outcome. Or, evaluate how </w:t>
      </w:r>
      <w:r w:rsidRPr="00E55063">
        <w:rPr>
          <w:sz w:val="20"/>
          <w:szCs w:val="20"/>
        </w:rPr>
        <w:t>changes in curriculum</w:t>
      </w:r>
      <w:r>
        <w:rPr>
          <w:sz w:val="20"/>
          <w:szCs w:val="20"/>
        </w:rPr>
        <w:t xml:space="preserve"> within a course</w:t>
      </w:r>
      <w:r w:rsidRPr="00E55063">
        <w:rPr>
          <w:sz w:val="20"/>
          <w:szCs w:val="20"/>
        </w:rPr>
        <w:t xml:space="preserve"> resulted in a change in performance</w:t>
      </w:r>
      <w:r>
        <w:rPr>
          <w:sz w:val="20"/>
          <w:szCs w:val="20"/>
        </w:rPr>
        <w:t>.  This is accomplished by examining the difference in performance between Year 1 XO2XO4 and Year 2 XO2XO4 with added controls for group equivalency.  The use of common rubrics could also allow analysis of different instructional strategies across courses in the same category to inform practice.</w:t>
      </w:r>
    </w:p>
    <w:p w:rsidR="000C3771" w:rsidRPr="00E55063" w:rsidRDefault="000C3771" w:rsidP="00576817">
      <w:pPr>
        <w:pStyle w:val="NoSpacing"/>
        <w:rPr>
          <w:sz w:val="20"/>
          <w:szCs w:val="20"/>
        </w:rPr>
      </w:pPr>
    </w:p>
    <w:p w:rsidR="000C3771" w:rsidRPr="00E55063" w:rsidRDefault="000C3771" w:rsidP="00576817">
      <w:pPr>
        <w:pStyle w:val="NoSpacing"/>
        <w:rPr>
          <w:sz w:val="20"/>
          <w:szCs w:val="20"/>
        </w:rPr>
      </w:pPr>
      <w:r w:rsidRPr="00E55063">
        <w:rPr>
          <w:sz w:val="20"/>
          <w:szCs w:val="20"/>
        </w:rPr>
        <w:t>It should be noted that this type of design requires a pretest to measure heterogeneity of groups and additional controls for internal and external threats to validity.  "O1" in the diagram represents that observation which can also include an analysis of variance for incoming characteristics of groups across semesters.  A full discussion of the assessment mechanics using this specific methodology is beyond the scope of this proposal; however, it is included to explain how embedded assessments can serve as valid and reliable measures.</w:t>
      </w:r>
    </w:p>
    <w:p w:rsidR="000C3771" w:rsidRDefault="000C3771" w:rsidP="00576817">
      <w:pPr>
        <w:pStyle w:val="EndnoteText"/>
      </w:pPr>
    </w:p>
    <w:p w:rsidR="000C3771" w:rsidRDefault="000C3771" w:rsidP="00576817">
      <w:pPr>
        <w:pStyle w:val="EndnoteText"/>
      </w:pPr>
    </w:p>
    <w:p w:rsidR="000C3771" w:rsidRDefault="000C3771" w:rsidP="00576817">
      <w:pPr>
        <w:pStyle w:val="FootnoteTex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771" w:rsidRDefault="000C37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7784"/>
      <w:docPartObj>
        <w:docPartGallery w:val="Watermarks"/>
        <w:docPartUnique/>
      </w:docPartObj>
    </w:sdtPr>
    <w:sdtContent>
      <w:p w:rsidR="000C3771" w:rsidRDefault="000C3771">
        <w:pPr>
          <w:pStyle w:val="Header"/>
        </w:pPr>
        <w:r>
          <w:rPr>
            <w:noProof/>
          </w:rPr>
          <w:pict w14:anchorId="4067A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771" w:rsidRDefault="000C3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9D4"/>
    <w:multiLevelType w:val="hybridMultilevel"/>
    <w:tmpl w:val="16C6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A581B"/>
    <w:multiLevelType w:val="hybridMultilevel"/>
    <w:tmpl w:val="733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F538B"/>
    <w:multiLevelType w:val="hybridMultilevel"/>
    <w:tmpl w:val="BCE2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D4D58"/>
    <w:multiLevelType w:val="hybridMultilevel"/>
    <w:tmpl w:val="F89C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027AB"/>
    <w:multiLevelType w:val="hybridMultilevel"/>
    <w:tmpl w:val="2E84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85755"/>
    <w:multiLevelType w:val="hybridMultilevel"/>
    <w:tmpl w:val="39861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63100"/>
    <w:multiLevelType w:val="hybridMultilevel"/>
    <w:tmpl w:val="2A4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t Johnson">
    <w15:presenceInfo w15:providerId="AD" w15:userId="S-1-5-21-1696161068-3869126379-3565456742-154727"/>
  </w15:person>
  <w15:person w15:author="Debrah Huffman">
    <w15:presenceInfo w15:providerId="AD" w15:userId="S-1-5-21-1696161068-3869126379-3565456742-45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1E"/>
    <w:rsid w:val="0007185A"/>
    <w:rsid w:val="000B134C"/>
    <w:rsid w:val="000C3771"/>
    <w:rsid w:val="000E45EA"/>
    <w:rsid w:val="00111618"/>
    <w:rsid w:val="001A7A80"/>
    <w:rsid w:val="001B5A90"/>
    <w:rsid w:val="001D5B20"/>
    <w:rsid w:val="002079F0"/>
    <w:rsid w:val="00286336"/>
    <w:rsid w:val="002D4454"/>
    <w:rsid w:val="002D4BE6"/>
    <w:rsid w:val="00317392"/>
    <w:rsid w:val="00351B6D"/>
    <w:rsid w:val="003B1C2A"/>
    <w:rsid w:val="00444EF5"/>
    <w:rsid w:val="00464673"/>
    <w:rsid w:val="00485C37"/>
    <w:rsid w:val="004B206C"/>
    <w:rsid w:val="004E75E2"/>
    <w:rsid w:val="0051134C"/>
    <w:rsid w:val="005235BD"/>
    <w:rsid w:val="005474B7"/>
    <w:rsid w:val="00552DE8"/>
    <w:rsid w:val="00576817"/>
    <w:rsid w:val="005E1D65"/>
    <w:rsid w:val="005F61C4"/>
    <w:rsid w:val="00603F48"/>
    <w:rsid w:val="00694C41"/>
    <w:rsid w:val="006A6518"/>
    <w:rsid w:val="006B23D2"/>
    <w:rsid w:val="006B5B3D"/>
    <w:rsid w:val="006C5459"/>
    <w:rsid w:val="006D6BB7"/>
    <w:rsid w:val="00717145"/>
    <w:rsid w:val="008214D5"/>
    <w:rsid w:val="008862F7"/>
    <w:rsid w:val="008967D1"/>
    <w:rsid w:val="008A0E83"/>
    <w:rsid w:val="008E337D"/>
    <w:rsid w:val="00933FE0"/>
    <w:rsid w:val="009564E0"/>
    <w:rsid w:val="009B478C"/>
    <w:rsid w:val="009C6009"/>
    <w:rsid w:val="00A512ED"/>
    <w:rsid w:val="00A83BE5"/>
    <w:rsid w:val="00A94BAC"/>
    <w:rsid w:val="00A95A4D"/>
    <w:rsid w:val="00AF7E16"/>
    <w:rsid w:val="00B1790F"/>
    <w:rsid w:val="00B63E52"/>
    <w:rsid w:val="00B94692"/>
    <w:rsid w:val="00BC27D6"/>
    <w:rsid w:val="00BC60A3"/>
    <w:rsid w:val="00BD6EA7"/>
    <w:rsid w:val="00C5251E"/>
    <w:rsid w:val="00C633EF"/>
    <w:rsid w:val="00C810A9"/>
    <w:rsid w:val="00D038E9"/>
    <w:rsid w:val="00DA1DFE"/>
    <w:rsid w:val="00DC67BA"/>
    <w:rsid w:val="00E10DC7"/>
    <w:rsid w:val="00E1264B"/>
    <w:rsid w:val="00E20801"/>
    <w:rsid w:val="00E40D03"/>
    <w:rsid w:val="00E51654"/>
    <w:rsid w:val="00E55063"/>
    <w:rsid w:val="00E70FB4"/>
    <w:rsid w:val="00E74D82"/>
    <w:rsid w:val="00E9016F"/>
    <w:rsid w:val="00EE254D"/>
    <w:rsid w:val="00F06BEF"/>
    <w:rsid w:val="00F47A19"/>
    <w:rsid w:val="00F52F41"/>
    <w:rsid w:val="00F61E58"/>
    <w:rsid w:val="00F64196"/>
    <w:rsid w:val="00F815E6"/>
    <w:rsid w:val="00F82728"/>
    <w:rsid w:val="00FB6F6D"/>
    <w:rsid w:val="00FD317B"/>
    <w:rsid w:val="00FE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2DCDD7"/>
  <w15:chartTrackingRefBased/>
  <w15:docId w15:val="{D2417AE4-C1D9-4463-981B-97144F86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51E"/>
    <w:pPr>
      <w:spacing w:after="0" w:line="240" w:lineRule="auto"/>
    </w:pPr>
  </w:style>
  <w:style w:type="paragraph" w:styleId="ListParagraph">
    <w:name w:val="List Paragraph"/>
    <w:basedOn w:val="Normal"/>
    <w:uiPriority w:val="34"/>
    <w:qFormat/>
    <w:rsid w:val="00C5251E"/>
    <w:pPr>
      <w:ind w:left="720"/>
      <w:contextualSpacing/>
    </w:pPr>
  </w:style>
  <w:style w:type="table" w:styleId="TableGrid">
    <w:name w:val="Table Grid"/>
    <w:basedOn w:val="TableNormal"/>
    <w:uiPriority w:val="59"/>
    <w:rsid w:val="0082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2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41"/>
    <w:rPr>
      <w:rFonts w:ascii="Segoe UI" w:hAnsi="Segoe UI" w:cs="Segoe UI"/>
      <w:sz w:val="18"/>
      <w:szCs w:val="18"/>
    </w:rPr>
  </w:style>
  <w:style w:type="paragraph" w:styleId="EndnoteText">
    <w:name w:val="endnote text"/>
    <w:basedOn w:val="Normal"/>
    <w:link w:val="EndnoteTextChar"/>
    <w:uiPriority w:val="99"/>
    <w:semiHidden/>
    <w:unhideWhenUsed/>
    <w:rsid w:val="00E550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5063"/>
    <w:rPr>
      <w:sz w:val="20"/>
      <w:szCs w:val="20"/>
    </w:rPr>
  </w:style>
  <w:style w:type="character" w:styleId="EndnoteReference">
    <w:name w:val="endnote reference"/>
    <w:basedOn w:val="DefaultParagraphFont"/>
    <w:uiPriority w:val="99"/>
    <w:semiHidden/>
    <w:unhideWhenUsed/>
    <w:rsid w:val="00E55063"/>
    <w:rPr>
      <w:vertAlign w:val="superscript"/>
    </w:rPr>
  </w:style>
  <w:style w:type="character" w:styleId="Hyperlink">
    <w:name w:val="Hyperlink"/>
    <w:basedOn w:val="DefaultParagraphFont"/>
    <w:uiPriority w:val="99"/>
    <w:unhideWhenUsed/>
    <w:rsid w:val="00B63E52"/>
    <w:rPr>
      <w:color w:val="0563C1" w:themeColor="hyperlink"/>
      <w:u w:val="single"/>
    </w:rPr>
  </w:style>
  <w:style w:type="paragraph" w:styleId="FootnoteText">
    <w:name w:val="footnote text"/>
    <w:basedOn w:val="Normal"/>
    <w:link w:val="FootnoteTextChar"/>
    <w:uiPriority w:val="99"/>
    <w:semiHidden/>
    <w:unhideWhenUsed/>
    <w:rsid w:val="00EE2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54D"/>
    <w:rPr>
      <w:sz w:val="20"/>
      <w:szCs w:val="20"/>
    </w:rPr>
  </w:style>
  <w:style w:type="character" w:styleId="FootnoteReference">
    <w:name w:val="footnote reference"/>
    <w:basedOn w:val="DefaultParagraphFont"/>
    <w:uiPriority w:val="99"/>
    <w:semiHidden/>
    <w:unhideWhenUsed/>
    <w:rsid w:val="00EE254D"/>
    <w:rPr>
      <w:vertAlign w:val="superscript"/>
    </w:rPr>
  </w:style>
  <w:style w:type="paragraph" w:styleId="Header">
    <w:name w:val="header"/>
    <w:basedOn w:val="Normal"/>
    <w:link w:val="HeaderChar"/>
    <w:uiPriority w:val="99"/>
    <w:unhideWhenUsed/>
    <w:rsid w:val="009564E0"/>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9564E0"/>
    <w:rPr>
      <w:rFonts w:asciiTheme="minorHAnsi" w:hAnsiTheme="minorHAnsi" w:cstheme="minorBidi"/>
      <w:sz w:val="22"/>
      <w:szCs w:val="22"/>
    </w:rPr>
  </w:style>
  <w:style w:type="table" w:customStyle="1" w:styleId="TableGrid1">
    <w:name w:val="Table Grid1"/>
    <w:basedOn w:val="TableNormal"/>
    <w:next w:val="TableGrid"/>
    <w:uiPriority w:val="39"/>
    <w:rsid w:val="009564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4E0"/>
    <w:rPr>
      <w:sz w:val="16"/>
      <w:szCs w:val="16"/>
    </w:rPr>
  </w:style>
  <w:style w:type="paragraph" w:styleId="CommentText">
    <w:name w:val="annotation text"/>
    <w:basedOn w:val="Normal"/>
    <w:link w:val="CommentTextChar"/>
    <w:uiPriority w:val="99"/>
    <w:semiHidden/>
    <w:unhideWhenUsed/>
    <w:rsid w:val="009564E0"/>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564E0"/>
    <w:rPr>
      <w:rFonts w:asciiTheme="minorHAnsi" w:hAnsiTheme="minorHAnsi" w:cstheme="minorBidi"/>
      <w:sz w:val="20"/>
      <w:szCs w:val="20"/>
    </w:rPr>
  </w:style>
  <w:style w:type="paragraph" w:styleId="Footer">
    <w:name w:val="footer"/>
    <w:basedOn w:val="Normal"/>
    <w:link w:val="FooterChar"/>
    <w:uiPriority w:val="99"/>
    <w:unhideWhenUsed/>
    <w:rsid w:val="00956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E0"/>
  </w:style>
  <w:style w:type="paragraph" w:styleId="Revision">
    <w:name w:val="Revision"/>
    <w:hidden/>
    <w:uiPriority w:val="99"/>
    <w:semiHidden/>
    <w:rsid w:val="00BC2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13241">
      <w:bodyDiv w:val="1"/>
      <w:marLeft w:val="0"/>
      <w:marRight w:val="0"/>
      <w:marTop w:val="0"/>
      <w:marBottom w:val="0"/>
      <w:divBdr>
        <w:top w:val="none" w:sz="0" w:space="0" w:color="auto"/>
        <w:left w:val="none" w:sz="0" w:space="0" w:color="auto"/>
        <w:bottom w:val="none" w:sz="0" w:space="0" w:color="auto"/>
        <w:right w:val="none" w:sz="0" w:space="0" w:color="auto"/>
      </w:divBdr>
    </w:div>
    <w:div w:id="10940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ED593-0CA4-494B-B42C-1F6180EF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Johnson</dc:creator>
  <cp:keywords/>
  <dc:description/>
  <cp:lastModifiedBy>Kent Johnson</cp:lastModifiedBy>
  <cp:revision>29</cp:revision>
  <cp:lastPrinted>2017-11-06T15:35:00Z</cp:lastPrinted>
  <dcterms:created xsi:type="dcterms:W3CDTF">2017-10-26T14:02:00Z</dcterms:created>
  <dcterms:modified xsi:type="dcterms:W3CDTF">2017-11-07T21:23:00Z</dcterms:modified>
</cp:coreProperties>
</file>