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AD" w:rsidRDefault="00097566">
      <w:pPr>
        <w:pStyle w:val="Heading2"/>
        <w:divId w:val="1818716954"/>
        <w:rPr>
          <w:rFonts w:eastAsia="Times New Roman"/>
        </w:rPr>
      </w:pPr>
      <w:proofErr w:type="gramStart"/>
      <w:r>
        <w:rPr>
          <w:rFonts w:eastAsia="Times New Roman"/>
        </w:rPr>
        <w:t>4.C</w:t>
      </w:r>
      <w:proofErr w:type="gramEnd"/>
      <w:r>
        <w:rPr>
          <w:rFonts w:eastAsia="Times New Roman"/>
        </w:rPr>
        <w:t xml:space="preserve"> - Core Component 4.C</w:t>
      </w:r>
    </w:p>
    <w:p w:rsidR="00C96DAD" w:rsidRDefault="00097566">
      <w:pPr>
        <w:pStyle w:val="NormalWeb"/>
        <w:divId w:val="262887116"/>
      </w:pPr>
      <w:r>
        <w:t>The institution pursues educational improvement through goals and strategies that improve retention, persistence and completion rates in its degree and certificate programs.</w:t>
      </w:r>
    </w:p>
    <w:p w:rsidR="00C96DAD" w:rsidRDefault="00097566">
      <w:pPr>
        <w:numPr>
          <w:ilvl w:val="0"/>
          <w:numId w:val="1"/>
        </w:numPr>
        <w:spacing w:before="100" w:beforeAutospacing="1" w:after="100" w:afterAutospacing="1"/>
        <w:divId w:val="262887116"/>
        <w:rPr>
          <w:rFonts w:eastAsia="Times New Roman"/>
        </w:rPr>
      </w:pPr>
      <w:r>
        <w:rPr>
          <w:rFonts w:eastAsia="Times New Roman"/>
        </w:rPr>
        <w:t>The institution has defined goals for student retention, persistence and completion that are ambitious, attainable and appropriate to its mission, student populations and educational offerings.</w:t>
      </w:r>
    </w:p>
    <w:p w:rsidR="00C96DAD" w:rsidRDefault="00097566">
      <w:pPr>
        <w:numPr>
          <w:ilvl w:val="0"/>
          <w:numId w:val="1"/>
        </w:numPr>
        <w:spacing w:before="100" w:beforeAutospacing="1" w:after="100" w:afterAutospacing="1"/>
        <w:divId w:val="262887116"/>
        <w:rPr>
          <w:rFonts w:eastAsia="Times New Roman"/>
        </w:rPr>
      </w:pPr>
      <w:r>
        <w:rPr>
          <w:rFonts w:eastAsia="Times New Roman"/>
        </w:rPr>
        <w:t>The institution collects and analyzes information on student retention, persistence and completion of its programs.</w:t>
      </w:r>
    </w:p>
    <w:p w:rsidR="00C96DAD" w:rsidRDefault="00097566">
      <w:pPr>
        <w:numPr>
          <w:ilvl w:val="0"/>
          <w:numId w:val="1"/>
        </w:numPr>
        <w:spacing w:before="100" w:beforeAutospacing="1" w:after="100" w:afterAutospacing="1"/>
        <w:divId w:val="262887116"/>
        <w:rPr>
          <w:rFonts w:eastAsia="Times New Roman"/>
        </w:rPr>
      </w:pPr>
      <w:r>
        <w:rPr>
          <w:rFonts w:eastAsia="Times New Roman"/>
        </w:rPr>
        <w:t>The institution uses information on student retention, persistence and completion of programs to make improvements as warranted by the data.</w:t>
      </w:r>
    </w:p>
    <w:p w:rsidR="00C96DAD" w:rsidRDefault="00097566">
      <w:pPr>
        <w:numPr>
          <w:ilvl w:val="0"/>
          <w:numId w:val="1"/>
        </w:numPr>
        <w:spacing w:before="100" w:beforeAutospacing="1" w:after="100" w:afterAutospacing="1"/>
        <w:divId w:val="262887116"/>
        <w:rPr>
          <w:rFonts w:eastAsia="Times New Roman"/>
        </w:rPr>
      </w:pPr>
      <w:r>
        <w:rPr>
          <w:rFonts w:eastAsia="Times New Roman"/>
        </w:rPr>
        <w:t>The institution’s processes and methodologies for collecting and analyzing information on student retention, persistence and completion of programs reflect good practice. (Institutions are not required to use IPEDS definitions in their determination of persistence or completion rates. Institutions are encouraged to choose measures that are suitable to their student populations, but institutions are accountable for the validity of their measures.)</w:t>
      </w:r>
    </w:p>
    <w:p w:rsidR="00C96DAD" w:rsidRDefault="00097566">
      <w:pPr>
        <w:pStyle w:val="Heading3"/>
        <w:divId w:val="1818716954"/>
        <w:rPr>
          <w:rFonts w:eastAsia="Times New Roman"/>
        </w:rPr>
      </w:pPr>
      <w:r>
        <w:rPr>
          <w:rFonts w:eastAsia="Times New Roman"/>
        </w:rPr>
        <w:t>Argument</w:t>
      </w:r>
    </w:p>
    <w:p w:rsidR="00C96DAD" w:rsidRDefault="00097566">
      <w:pPr>
        <w:pStyle w:val="NormalWeb"/>
        <w:divId w:val="416488853"/>
      </w:pPr>
      <w:proofErr w:type="gramStart"/>
      <w:r>
        <w:rPr>
          <w:rStyle w:val="Strong"/>
        </w:rPr>
        <w:t>4.C.1</w:t>
      </w:r>
      <w:proofErr w:type="gramEnd"/>
      <w:r>
        <w:rPr>
          <w:rStyle w:val="Strong"/>
        </w:rPr>
        <w:t>  The institution has defined goals for student retention, persistence and completion that are ambitious, attainable and appropriate to its mission, student populations and educational offerings.</w:t>
      </w:r>
    </w:p>
    <w:p w:rsidR="00C96DAD" w:rsidRDefault="00097566">
      <w:pPr>
        <w:pStyle w:val="NormalWeb"/>
        <w:divId w:val="416488853"/>
      </w:pPr>
      <w:r>
        <w:t xml:space="preserve">Retention and Graduation Rates were prioritized metrics for the new strategic plan as reported in the </w:t>
      </w:r>
      <w:hyperlink r:id="rId7" w:tgtFrame="_blank" w:history="1">
        <w:r>
          <w:rPr>
            <w:rStyle w:val="Hyperlink"/>
          </w:rPr>
          <w:t>Strategic Plan Metrics Report</w:t>
        </w:r>
      </w:hyperlink>
      <w:r>
        <w:t> and the </w:t>
      </w:r>
      <w:hyperlink r:id="rId8" w:tgtFrame="_blank" w:history="1">
        <w:r>
          <w:rPr>
            <w:rStyle w:val="Hyperlink"/>
          </w:rPr>
          <w:t>Strategic Planning and Implementation Annual Report</w:t>
        </w:r>
      </w:hyperlink>
      <w:r>
        <w:t xml:space="preserve">.  Retention and Graduation metrics included "impact metrics and "supporting metrics". As described in the report, impact metrics provide evidence at a very high level of progress relative to the aspiration while supporting metrics supplement impact metrics adding "...nuance to the story those metrics tell. Retention and Graduation metrics were established within the "Champion Student Success" and "Embrace Diversity, Equity, and Inclusion" Aspirations.  Baseline metrics and five - year targets for FTFT 6 year graduation rates, First fall to second fall retention rates, </w:t>
      </w:r>
      <w:proofErr w:type="gramStart"/>
      <w:r>
        <w:t>and undergraduate</w:t>
      </w:r>
      <w:proofErr w:type="gramEnd"/>
      <w:r>
        <w:t xml:space="preserve"> degree production ratio, and underrepresented minority degree attainment.</w:t>
      </w:r>
    </w:p>
    <w:tbl>
      <w:tblPr>
        <w:tblW w:w="9300" w:type="dxa"/>
        <w:tblCellMar>
          <w:top w:w="15" w:type="dxa"/>
          <w:left w:w="15" w:type="dxa"/>
          <w:bottom w:w="15" w:type="dxa"/>
          <w:right w:w="15" w:type="dxa"/>
        </w:tblCellMar>
        <w:tblLook w:val="04A0" w:firstRow="1" w:lastRow="0" w:firstColumn="1" w:lastColumn="0" w:noHBand="0" w:noVBand="1"/>
      </w:tblPr>
      <w:tblGrid>
        <w:gridCol w:w="5313"/>
        <w:gridCol w:w="1860"/>
        <w:gridCol w:w="2127"/>
      </w:tblGrid>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jc w:val="both"/>
              <w:rPr>
                <w:rFonts w:eastAsia="Times New Roman"/>
                <w:b/>
                <w:bCs/>
              </w:rPr>
            </w:pPr>
            <w:r>
              <w:rPr>
                <w:rFonts w:eastAsia="Times New Roman"/>
                <w:b/>
                <w:bCs/>
              </w:rPr>
              <w:t>Impact Metric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jc w:val="center"/>
              <w:rPr>
                <w:rFonts w:eastAsia="Times New Roman"/>
                <w:b/>
                <w:bCs/>
              </w:rPr>
            </w:pPr>
            <w:r>
              <w:rPr>
                <w:rFonts w:eastAsia="Times New Roman"/>
                <w:b/>
                <w:bCs/>
              </w:rPr>
              <w:t>Baseline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jc w:val="center"/>
              <w:rPr>
                <w:rFonts w:eastAsia="Times New Roman"/>
                <w:b/>
                <w:bCs/>
              </w:rPr>
            </w:pPr>
            <w:r>
              <w:rPr>
                <w:rFonts w:eastAsia="Times New Roman"/>
                <w:b/>
                <w:bCs/>
              </w:rPr>
              <w:t>5 -Year Target </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rPr>
                <w:rFonts w:eastAsia="Times New Roman"/>
              </w:rPr>
            </w:pPr>
            <w:r>
              <w:rPr>
                <w:rFonts w:eastAsia="Times New Roman"/>
              </w:rPr>
              <w:t> 6-year FTFT graduation rate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 37.4%</w:t>
            </w:r>
          </w:p>
          <w:p w:rsidR="00C96DAD" w:rsidRDefault="00097566">
            <w:pPr>
              <w:pStyle w:val="NormalWeb"/>
              <w:jc w:val="center"/>
            </w:pPr>
            <w:r>
              <w:t>(2013 Cohort)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42.0</w:t>
            </w:r>
          </w:p>
          <w:p w:rsidR="00C96DAD" w:rsidRDefault="00097566">
            <w:pPr>
              <w:pStyle w:val="NormalWeb"/>
              <w:jc w:val="center"/>
            </w:pPr>
            <w:r>
              <w:t>(2019 Cohort) </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rPr>
                <w:rFonts w:eastAsia="Times New Roman"/>
              </w:rPr>
            </w:pPr>
            <w:r>
              <w:rPr>
                <w:rFonts w:eastAsia="Times New Roman"/>
              </w:rPr>
              <w:t>First fall to first spring FTFT retention rate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57.0%</w:t>
            </w:r>
          </w:p>
          <w:p w:rsidR="00C96DAD" w:rsidRDefault="00097566">
            <w:pPr>
              <w:pStyle w:val="NormalWeb"/>
              <w:jc w:val="center"/>
            </w:pPr>
            <w:r>
              <w:lastRenderedPageBreak/>
              <w:t>(2018 Cohort)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lastRenderedPageBreak/>
              <w:t>68.0%</w:t>
            </w:r>
          </w:p>
          <w:p w:rsidR="00C96DAD" w:rsidRDefault="00097566">
            <w:pPr>
              <w:pStyle w:val="NormalWeb"/>
              <w:jc w:val="center"/>
            </w:pPr>
            <w:r>
              <w:lastRenderedPageBreak/>
              <w:t>(2024 Cohort)</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rPr>
                <w:rFonts w:eastAsia="Times New Roman"/>
              </w:rPr>
            </w:pPr>
            <w:r>
              <w:rPr>
                <w:rFonts w:eastAsia="Times New Roman"/>
              </w:rPr>
              <w:lastRenderedPageBreak/>
              <w:t>Degree Production Ratio</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19.3%</w:t>
            </w:r>
          </w:p>
          <w:p w:rsidR="00C96DAD" w:rsidRDefault="00097566">
            <w:pPr>
              <w:pStyle w:val="NormalWeb"/>
              <w:jc w:val="center"/>
            </w:pPr>
            <w:r>
              <w:t>(2018-19)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21.0</w:t>
            </w:r>
          </w:p>
          <w:p w:rsidR="00C96DAD" w:rsidRDefault="00097566">
            <w:pPr>
              <w:pStyle w:val="NormalWeb"/>
              <w:jc w:val="center"/>
            </w:pPr>
            <w:r>
              <w:t>(2024-25)</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pPr>
            <w:r>
              <w:t>First Fall to Second Spring FTFT </w:t>
            </w:r>
          </w:p>
          <w:p w:rsidR="00C96DAD" w:rsidRDefault="00097566">
            <w:pPr>
              <w:pStyle w:val="NormalWeb"/>
            </w:pPr>
            <w:r>
              <w:t>Underrepresented Minority Students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41.5%</w:t>
            </w:r>
          </w:p>
          <w:p w:rsidR="00C96DAD" w:rsidRDefault="00097566">
            <w:pPr>
              <w:pStyle w:val="NormalWeb"/>
              <w:jc w:val="center"/>
            </w:pPr>
            <w:r>
              <w:t>(2018 Cohort)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pStyle w:val="NormalWeb"/>
              <w:jc w:val="center"/>
            </w:pPr>
            <w:r>
              <w:t>55.0%</w:t>
            </w:r>
          </w:p>
          <w:p w:rsidR="00C96DAD" w:rsidRDefault="00097566">
            <w:pPr>
              <w:pStyle w:val="NormalWeb"/>
              <w:jc w:val="center"/>
            </w:pPr>
            <w:r>
              <w:t>(2024 Cohort)</w:t>
            </w:r>
          </w:p>
        </w:tc>
      </w:tr>
    </w:tbl>
    <w:p w:rsidR="00C96DAD" w:rsidRDefault="00097566">
      <w:pPr>
        <w:pStyle w:val="NormalWeb"/>
        <w:divId w:val="416488853"/>
      </w:pPr>
      <w:r>
        <w:t xml:space="preserve">The criterion for a metric as a good measure of success </w:t>
      </w:r>
      <w:proofErr w:type="gramStart"/>
      <w:r>
        <w:t>was defined and justified as consisting of four characteristics</w:t>
      </w:r>
      <w:proofErr w:type="gramEnd"/>
      <w:r>
        <w:t>:</w:t>
      </w:r>
    </w:p>
    <w:p w:rsidR="00C96DAD" w:rsidRDefault="00097566">
      <w:pPr>
        <w:numPr>
          <w:ilvl w:val="0"/>
          <w:numId w:val="2"/>
        </w:numPr>
        <w:spacing w:before="100" w:beforeAutospacing="1" w:after="100" w:afterAutospacing="1"/>
        <w:divId w:val="416488853"/>
        <w:rPr>
          <w:rFonts w:eastAsia="Times New Roman"/>
        </w:rPr>
      </w:pPr>
      <w:r>
        <w:rPr>
          <w:rFonts w:eastAsia="Times New Roman"/>
        </w:rPr>
        <w:t>Quantitative: Quantitative measures allow for easier longitudinal comparisons.</w:t>
      </w:r>
    </w:p>
    <w:p w:rsidR="00C96DAD" w:rsidRDefault="00097566">
      <w:pPr>
        <w:numPr>
          <w:ilvl w:val="0"/>
          <w:numId w:val="2"/>
        </w:numPr>
        <w:spacing w:before="100" w:beforeAutospacing="1" w:after="100" w:afterAutospacing="1"/>
        <w:divId w:val="416488853"/>
        <w:rPr>
          <w:rFonts w:eastAsia="Times New Roman"/>
        </w:rPr>
      </w:pPr>
      <w:r>
        <w:rPr>
          <w:rFonts w:eastAsia="Times New Roman"/>
        </w:rPr>
        <w:t>Reliable: There is not a great deal of annual fluctuation (or noise) in the data.</w:t>
      </w:r>
    </w:p>
    <w:p w:rsidR="00C96DAD" w:rsidRDefault="00097566">
      <w:pPr>
        <w:numPr>
          <w:ilvl w:val="0"/>
          <w:numId w:val="2"/>
        </w:numPr>
        <w:spacing w:before="100" w:beforeAutospacing="1" w:after="100" w:afterAutospacing="1"/>
        <w:divId w:val="416488853"/>
        <w:rPr>
          <w:rFonts w:eastAsia="Times New Roman"/>
        </w:rPr>
      </w:pPr>
      <w:r>
        <w:rPr>
          <w:rFonts w:eastAsia="Times New Roman"/>
        </w:rPr>
        <w:t>Valid: The measure is a reasonable index of the construct we are trying to represent.</w:t>
      </w:r>
    </w:p>
    <w:p w:rsidR="00C96DAD" w:rsidRDefault="00097566">
      <w:pPr>
        <w:numPr>
          <w:ilvl w:val="0"/>
          <w:numId w:val="2"/>
        </w:numPr>
        <w:spacing w:before="100" w:beforeAutospacing="1" w:after="100" w:afterAutospacing="1"/>
        <w:divId w:val="416488853"/>
        <w:rPr>
          <w:rFonts w:eastAsia="Times New Roman"/>
        </w:rPr>
      </w:pPr>
      <w:r>
        <w:rPr>
          <w:rFonts w:eastAsia="Times New Roman"/>
        </w:rPr>
        <w:t xml:space="preserve">Level of effort: It is ideal if the data that go into the metrics </w:t>
      </w:r>
      <w:proofErr w:type="gramStart"/>
      <w:r>
        <w:rPr>
          <w:rFonts w:eastAsia="Times New Roman"/>
        </w:rPr>
        <w:t>are already collected and analyzed as part of our existing annual processes</w:t>
      </w:r>
      <w:proofErr w:type="gramEnd"/>
      <w:r>
        <w:rPr>
          <w:rFonts w:eastAsia="Times New Roman"/>
        </w:rPr>
        <w:t>.</w:t>
      </w:r>
    </w:p>
    <w:p w:rsidR="00C96DAD" w:rsidRDefault="00097566">
      <w:pPr>
        <w:pStyle w:val="NormalWeb"/>
        <w:divId w:val="416488853"/>
      </w:pPr>
      <w:r>
        <w:t>The characteristics as well as broad engagement of organizational areas responsible for retention, persistence, and graduation demonstrate that the institution assure that the goals are ambitious, attainable and appropriate to its mission, student populations and educational offerings.</w:t>
      </w:r>
    </w:p>
    <w:p w:rsidR="00C96DAD" w:rsidRDefault="00097566">
      <w:pPr>
        <w:pStyle w:val="NormalWeb"/>
        <w:divId w:val="416488853"/>
      </w:pPr>
      <w:proofErr w:type="gramStart"/>
      <w:r>
        <w:rPr>
          <w:rStyle w:val="Strong"/>
        </w:rPr>
        <w:t>4.C.2</w:t>
      </w:r>
      <w:proofErr w:type="gramEnd"/>
      <w:r>
        <w:rPr>
          <w:rStyle w:val="Strong"/>
        </w:rPr>
        <w:t xml:space="preserve"> The institution collects and analyzes information on student retention, persistence and completion of its programs</w:t>
      </w:r>
    </w:p>
    <w:p w:rsidR="00C96DAD" w:rsidRDefault="00097566">
      <w:pPr>
        <w:pStyle w:val="NormalWeb"/>
        <w:divId w:val="416488853"/>
      </w:pPr>
      <w:r>
        <w:t>Over the last four years, new leadership in the Office of Institutional Research and an increased emphasis on data informed decision making have enhanced the university's collection and analysis of data.  During the review of the comprehensive study, the </w:t>
      </w:r>
      <w:hyperlink r:id="rId9" w:tgtFrame="_blank" w:history="1">
        <w:r>
          <w:rPr>
            <w:rStyle w:val="Hyperlink"/>
          </w:rPr>
          <w:t>PFW Public Dashboard Inventory</w:t>
        </w:r>
      </w:hyperlink>
      <w:r>
        <w:t> is accessible without a login. </w:t>
      </w:r>
    </w:p>
    <w:p w:rsidR="00C96DAD" w:rsidRDefault="00097566">
      <w:pPr>
        <w:pStyle w:val="NormalWeb"/>
        <w:divId w:val="416488853"/>
      </w:pPr>
      <w:r>
        <w:t xml:space="preserve">The student retention and graduation dashboard presents data on retention, graduation, and stop out rates based on Fall Census data. This dashboard merges two different visualizations to give both aggregate and granular views of retention and graduation data for Purdue Fort Wayne students. Two base reports provide detailed information, The </w:t>
      </w:r>
      <w:hyperlink r:id="rId10" w:tgtFrame="_blank" w:history="1">
        <w:r>
          <w:rPr>
            <w:rStyle w:val="Hyperlink"/>
          </w:rPr>
          <w:t>Retention Analysis Dashboard</w:t>
        </w:r>
      </w:hyperlink>
      <w:r>
        <w:t> and the </w:t>
      </w:r>
      <w:hyperlink r:id="rId11" w:tgtFrame="_blank" w:history="1">
        <w:r>
          <w:rPr>
            <w:rStyle w:val="Hyperlink"/>
          </w:rPr>
          <w:t>Retention Graduation Dashboard</w:t>
        </w:r>
      </w:hyperlink>
      <w:r>
        <w:t xml:space="preserve"> provide data at the College, Department, Major, Program, and Concentration Level.  In addition, the dashboards can filter data by Gender, Race and Ethnicity, Residency, and Underrepresented Minority status.  The documents provided for review in this document are unfiltered providing university level data. </w:t>
      </w:r>
    </w:p>
    <w:p w:rsidR="00C96DAD" w:rsidRDefault="00097566">
      <w:pPr>
        <w:pStyle w:val="NormalWeb"/>
        <w:divId w:val="416488853"/>
      </w:pPr>
      <w:r>
        <w:t xml:space="preserve">These reports </w:t>
      </w:r>
      <w:proofErr w:type="gramStart"/>
      <w:r>
        <w:t>are used</w:t>
      </w:r>
      <w:proofErr w:type="gramEnd"/>
      <w:r>
        <w:t xml:space="preserve"> at the institutional level and the academic program level to monitor progress on university goals to increase retention, persistence and graduation.  At the academic program level, OIR produces the Annual Departmental Report template annually as described in the discussion in 4.A.1. OIR drives data from the retention dashboards and the faculty workload dashboards to produce tables and target ratios for retention and graduation.  The Academic Departments use the data for evaluation and planning relative to enrollment metrics and goals.  The data is provided to departments through a Report </w:t>
      </w:r>
      <w:proofErr w:type="gramStart"/>
      <w:r>
        <w:t>Template which</w:t>
      </w:r>
      <w:proofErr w:type="gramEnd"/>
      <w:r>
        <w:t xml:space="preserve"> they complete to form their Annual Departmental Report. The report provides five years of rolling data which </w:t>
      </w:r>
      <w:r>
        <w:lastRenderedPageBreak/>
        <w:t>academic units to examine trends in program demand, number of majors</w:t>
      </w:r>
      <w:r>
        <w:rPr>
          <w:rStyle w:val="Strong"/>
        </w:rPr>
        <w:t xml:space="preserve">, </w:t>
      </w:r>
      <w:r>
        <w:t>and graduates.  Enrollment metrics include graduation efficiency, student attrition, and growth trend.  Table 2c in the report provides detailed information on the number of new majors, total majors in the majors, retention within the major, retention in a different major, number of students graduating in the major or in a different major, and the total of students who have stopped out. The </w:t>
      </w:r>
      <w:hyperlink r:id="rId12" w:tgtFrame="_blank" w:history="1">
        <w:r>
          <w:rPr>
            <w:rStyle w:val="Hyperlink"/>
          </w:rPr>
          <w:t>Annual Departmental Report Data Definitions</w:t>
        </w:r>
      </w:hyperlink>
      <w:r>
        <w:t> provide detailed descriptions of the data definitions as well as how the metrics and ratios are constructed. </w:t>
      </w:r>
    </w:p>
    <w:p w:rsidR="00C96DAD" w:rsidRDefault="00097566">
      <w:pPr>
        <w:pStyle w:val="NormalWeb"/>
        <w:divId w:val="416488853"/>
      </w:pPr>
      <w:r>
        <w:t xml:space="preserve">Academic Units </w:t>
      </w:r>
      <w:proofErr w:type="gramStart"/>
      <w:r>
        <w:t>are asked</w:t>
      </w:r>
      <w:proofErr w:type="gramEnd"/>
      <w:r>
        <w:t xml:space="preserve"> to attach a departmental enrollment management plan as part of the Annual Departmental Plan.  The information provided by IR in the template provides information for </w:t>
      </w:r>
      <w:proofErr w:type="gramStart"/>
      <w:r>
        <w:t>planning and monitoring</w:t>
      </w:r>
      <w:proofErr w:type="gramEnd"/>
      <w:r>
        <w:t xml:space="preserve"> and managing enrollment at the departmental level.  The report requires units to include an enrollment management plan.</w:t>
      </w:r>
    </w:p>
    <w:p w:rsidR="00C96DAD" w:rsidRDefault="00097566">
      <w:pPr>
        <w:pStyle w:val="NormalWeb"/>
        <w:divId w:val="416488853"/>
      </w:pPr>
      <w:r>
        <w:t xml:space="preserve">As illustrated in the example from </w:t>
      </w:r>
      <w:hyperlink r:id="rId13" w:tgtFrame="_blank" w:history="1">
        <w:r>
          <w:rPr>
            <w:rStyle w:val="Hyperlink"/>
          </w:rPr>
          <w:t>CSD Annual Report,</w:t>
        </w:r>
      </w:hyperlink>
      <w:r>
        <w:t> the data provided by OIR in the template, use of the data, metrics, and ratios affords departments the ability to develop and monitor a robust enrollment management plan and to use this analysis to improve student success at the programmatic level.   </w:t>
      </w:r>
    </w:p>
    <w:p w:rsidR="00C96DAD" w:rsidRDefault="00097566">
      <w:pPr>
        <w:pStyle w:val="NormalWeb"/>
        <w:divId w:val="416488853"/>
      </w:pPr>
      <w:r>
        <w:t>The </w:t>
      </w:r>
      <w:hyperlink r:id="rId14" w:tgtFrame="_blank" w:history="1">
        <w:r>
          <w:rPr>
            <w:rStyle w:val="Hyperlink"/>
          </w:rPr>
          <w:t>Theatre 2019 Annual Report</w:t>
        </w:r>
      </w:hyperlink>
      <w:r>
        <w:t> provides another example of how departments use data provided in the Departmental Annual Report Template to inform retention efforts.  The department implemented new practices to improve first year retention as described in their report, the Theater Department implemented new practices:</w:t>
      </w:r>
    </w:p>
    <w:p w:rsidR="00C96DAD" w:rsidRDefault="00097566">
      <w:pPr>
        <w:pStyle w:val="NormalWeb"/>
        <w:divId w:val="416488853"/>
      </w:pPr>
      <w:r>
        <w:t>Due to the increased sizes of the Freshman classes but limited space available in certain classes (enrollment caps, therefore, that cannot expand), we have split three of the six freshman core classes and hired new LTL faculty or re-arranged existing faculty workload in order to cover teaching of these additional sections.</w:t>
      </w:r>
    </w:p>
    <w:p w:rsidR="00C96DAD" w:rsidRDefault="00097566">
      <w:pPr>
        <w:pStyle w:val="NormalWeb"/>
        <w:divId w:val="416488853"/>
      </w:pPr>
      <w:r>
        <w:t>Theater also began the implementation of a retention plan that includes a continuing effort to strengthen the first-year experience for freshman, and integrating resilience training throughout their curriculum. </w:t>
      </w:r>
    </w:p>
    <w:p w:rsidR="00C96DAD" w:rsidRDefault="00097566">
      <w:pPr>
        <w:pStyle w:val="NormalWeb"/>
        <w:divId w:val="416488853"/>
      </w:pPr>
      <w:r>
        <w:t xml:space="preserve">We continue with our first-year experience for freshmen, now including six courses that all freshmen take together: Acting </w:t>
      </w:r>
      <w:proofErr w:type="gramStart"/>
      <w:r>
        <w:t>I</w:t>
      </w:r>
      <w:proofErr w:type="gramEnd"/>
      <w:r>
        <w:t>, Stagecraft, Introduction to Theatre with an added freshmen community hour weekly, Textual Analysis, Voice for the Actor and Stage Management. This scheduling allows them to develop a strong cohort.</w:t>
      </w:r>
    </w:p>
    <w:p w:rsidR="00C96DAD" w:rsidRDefault="00097566">
      <w:pPr>
        <w:pStyle w:val="NormalWeb"/>
        <w:divId w:val="416488853"/>
      </w:pPr>
      <w:r>
        <w:t xml:space="preserve">Integrating Resilience Training into the Curriculum: New and just </w:t>
      </w:r>
      <w:proofErr w:type="gramStart"/>
      <w:r>
        <w:t>on</w:t>
      </w:r>
      <w:proofErr w:type="gramEnd"/>
      <w:r>
        <w:t xml:space="preserve"> the horizon in our retention work is the task of interlacing resilience training into some parts of the curriculum. The Chair attended a conference on this subject in the </w:t>
      </w:r>
      <w:proofErr w:type="gramStart"/>
      <w:r>
        <w:t>Fall</w:t>
      </w:r>
      <w:proofErr w:type="gramEnd"/>
      <w:r>
        <w:t xml:space="preserve"> of 2019 and will present the research and activities to the faculty of the Department in the spring 2020, so that all may brainstorm on how this valuable work might be integrated into the program, either as part of the first-year program or throughout the degree plan.</w:t>
      </w:r>
    </w:p>
    <w:p w:rsidR="00C96DAD" w:rsidRDefault="00097566">
      <w:pPr>
        <w:pStyle w:val="NormalWeb"/>
        <w:divId w:val="416488853"/>
      </w:pPr>
      <w:r>
        <w:t xml:space="preserve">While the Political Science department did not reference a specific enrollment management plan, they described how the attention they have paid to enrollment and retention has increased student </w:t>
      </w:r>
      <w:r>
        <w:lastRenderedPageBreak/>
        <w:t>engagement in their major.  Additionally, they reference curricular restructuring to ease the transition of students to the major, mentoring, advising, and other changes they have made based on evidence to support student retention and graduation as well as identify potential challenges:</w:t>
      </w:r>
    </w:p>
    <w:p w:rsidR="00C96DAD" w:rsidRDefault="00097566">
      <w:pPr>
        <w:pStyle w:val="NormalWeb"/>
        <w:divId w:val="416488853"/>
      </w:pPr>
      <w:r>
        <w:t xml:space="preserve">The department is doing an amazing job at growth and retention. First, a 41% growth in a number of years is impressive and demonstrates that our effort to actively persuade potential majors to join based on the quality of the degree, success of graduates, career-based liberal arts skills, and the support and mentorship they would receive. What we are doing is working extremely well. </w:t>
      </w:r>
      <w:proofErr w:type="gramStart"/>
      <w:r>
        <w:t>Likely</w:t>
      </w:r>
      <w:proofErr w:type="gramEnd"/>
      <w:r>
        <w:t xml:space="preserve"> the marketing material, the strong outreach, and also active persuasion of parents at campus visit opportunities has paid off. We also have reworked our curriculum and sequencing of courses to have students have an easier transition into the major as well as a steadier series of disciplinary sub-section offerings as students move through the degree. One struggle is the retirement of our political philosopher. </w:t>
      </w:r>
      <w:proofErr w:type="gramStart"/>
      <w:r>
        <w:t>It’s a sub-disciplinary hole that</w:t>
      </w:r>
      <w:proofErr w:type="gramEnd"/>
      <w:r>
        <w:t xml:space="preserve"> will have major implications if we cannot get it squared. Our supportive programming has also helped. This has likely kept the stop out rate from being even steeper. We have noted above and elsewhere that relative to even a half-decade ago, students are facing numerous more life challenges that threaten their education. To address these, we have five instructors record their lectures to insure that students can succeed. We also spend substantial time advising and mentoring students as advisors, but also working together to make sure we know how students are doing overall. This has paid off. </w:t>
      </w:r>
      <w:proofErr w:type="gramStart"/>
      <w:r>
        <w:t>So</w:t>
      </w:r>
      <w:proofErr w:type="gramEnd"/>
      <w:r>
        <w:t xml:space="preserve"> we have substantially improved everything from recruiting, to advising, to mentoring, to programming, to scheduling, to course sequencing, to scholarships.</w:t>
      </w:r>
    </w:p>
    <w:p w:rsidR="00C96DAD" w:rsidRDefault="00097566">
      <w:pPr>
        <w:pStyle w:val="NormalWeb"/>
        <w:divId w:val="416488853"/>
      </w:pPr>
      <w:r>
        <w:t>Table 2.E of the Annual Departmental Report uses the data from Table 2a-2c to synthesize and analyze enrollment and retention performance relative to departmental or programmatic goals. The</w:t>
      </w:r>
      <w:proofErr w:type="gramStart"/>
      <w:r>
        <w:t>  </w:t>
      </w:r>
      <w:proofErr w:type="gramEnd"/>
      <w:r w:rsidR="00FA56FE">
        <w:fldChar w:fldCharType="begin"/>
      </w:r>
      <w:r w:rsidR="00FD618B">
        <w:instrText>HYPERLINK "https://www.pfw.edu/offices/accreditation/2020-comprehensive-evauluation/2020-self-study/Core-Component-4C/English%20and%20Linguistics%202019%20Annual%20Report%20Table%202E%20Discussion-2-22-2021.pdf?language_id=1" \t "_blank"</w:instrText>
      </w:r>
      <w:r w:rsidR="00FA56FE">
        <w:fldChar w:fldCharType="separate"/>
      </w:r>
      <w:r>
        <w:rPr>
          <w:rStyle w:val="Hyperlink"/>
        </w:rPr>
        <w:t>English and Linguistics 2019 Annual Report Table 2E Discussion</w:t>
      </w:r>
      <w:r w:rsidR="00FA56FE">
        <w:rPr>
          <w:rStyle w:val="Hyperlink"/>
        </w:rPr>
        <w:fldChar w:fldCharType="end"/>
      </w:r>
      <w:r>
        <w:t> provides an excellent example:</w:t>
      </w:r>
    </w:p>
    <w:p w:rsidR="00C96DAD" w:rsidRDefault="00097566">
      <w:pPr>
        <w:pStyle w:val="NormalWeb"/>
        <w:divId w:val="416488853"/>
      </w:pPr>
      <w:r>
        <w:t xml:space="preserve">The sentiments </w:t>
      </w:r>
      <w:proofErr w:type="gramStart"/>
      <w:r>
        <w:t>I</w:t>
      </w:r>
      <w:proofErr w:type="gramEnd"/>
      <w:r>
        <w:t xml:space="preserve"> expressed in 2018 are, I suspect, valid in 2019. The 31 students reported as new/ongoing English students are inclusive of students who have yet to declare a concentration. With our new advising model in place in fall 2019, that student number should decline as students </w:t>
      </w:r>
      <w:proofErr w:type="gramStart"/>
      <w:r>
        <w:t>are distributed</w:t>
      </w:r>
      <w:proofErr w:type="gramEnd"/>
      <w:r>
        <w:t xml:space="preserve"> in their respective concentrations. That conclusion seems consistent and apt. Of the 31 students reported for 2019, 4 are continuing students. Their coterie from 2018 </w:t>
      </w:r>
      <w:proofErr w:type="gramStart"/>
      <w:r>
        <w:t>have presumably been distributed</w:t>
      </w:r>
      <w:proofErr w:type="gramEnd"/>
      <w:r>
        <w:t xml:space="preserve"> into the concentrations, a process that I believe is credible and healthy as students discover the major. One test of this redistribution will be the effectiveness of our new ENGL 120 freshman seminar, which should expedite this redistribution process </w:t>
      </w:r>
      <w:proofErr w:type="gramStart"/>
      <w:r>
        <w:t>both in the fall and spring</w:t>
      </w:r>
      <w:proofErr w:type="gramEnd"/>
      <w:r>
        <w:t xml:space="preserve">. </w:t>
      </w:r>
      <w:proofErr w:type="gramStart"/>
      <w:r>
        <w:t>I</w:t>
      </w:r>
      <w:proofErr w:type="gramEnd"/>
      <w:r>
        <w:t xml:space="preserve"> reported last year that this placement should begin “promptly.” The freshman seminar should provide this impetus.</w:t>
      </w:r>
    </w:p>
    <w:p w:rsidR="00C96DAD" w:rsidRDefault="00097566">
      <w:pPr>
        <w:pStyle w:val="NormalWeb"/>
        <w:divId w:val="416488853"/>
      </w:pPr>
      <w:r>
        <w:t xml:space="preserve">The “new majors” category from the aggregate report shows that we have 72 new majors, a number that is the highest of the five years represented and one that exceeds the </w:t>
      </w:r>
      <w:proofErr w:type="gramStart"/>
      <w:r>
        <w:t>54 student</w:t>
      </w:r>
      <w:proofErr w:type="gramEnd"/>
      <w:r>
        <w:t xml:space="preserve"> average of the 5 years. This is encouraging. Our growth trend is .938, nearly 1, which reflects an almost perfect exchange of graduating student and new student ratio. Our graduation efficiency is also strong, nearly 21%, a consistent percentage that is close to our 22.42% average. Troubling however is the student attrition rate of 24.4% percent (32 students). This attrition rate is dismaying. With our new Student Retention and Recruitment committee in place, led by our </w:t>
      </w:r>
      <w:r>
        <w:lastRenderedPageBreak/>
        <w:t xml:space="preserve">Lead Advisor, exit polls should indicate the reason for these departures so we can try to retain them at the institution. If </w:t>
      </w:r>
      <w:proofErr w:type="gramStart"/>
      <w:r>
        <w:t>it’s a question of financial or personal motivation</w:t>
      </w:r>
      <w:proofErr w:type="gramEnd"/>
      <w:r>
        <w:t>, we can perhaps intercede more effectively to either retain or ameliorate their situations</w:t>
      </w:r>
    </w:p>
    <w:p w:rsidR="00C96DAD" w:rsidRDefault="00097566">
      <w:pPr>
        <w:pStyle w:val="NormalWeb"/>
        <w:divId w:val="416488853"/>
      </w:pPr>
      <w:proofErr w:type="gramStart"/>
      <w:r>
        <w:t>I</w:t>
      </w:r>
      <w:proofErr w:type="gramEnd"/>
      <w:r>
        <w:t xml:space="preserve"> am including in this section our plan for enrollment management across the concentrations, since our management plan for each concentration is governed by our revised advising strategy. To maintain these numbers of new students and to encourage retention levels across the spectrum, </w:t>
      </w:r>
      <w:proofErr w:type="gramStart"/>
      <w:r>
        <w:t>I</w:t>
      </w:r>
      <w:proofErr w:type="gramEnd"/>
      <w:r>
        <w:t xml:space="preserve"> have revised our advising plan to enhance the role of a lead advisor with the collaboration of one of our staff members whose workload has been redrawn to include greater responsibility for working with our lead advisor. The following constitutes our new management plan...:</w:t>
      </w:r>
    </w:p>
    <w:p w:rsidR="00C96DAD" w:rsidRDefault="00097566">
      <w:pPr>
        <w:pStyle w:val="NormalWeb"/>
        <w:divId w:val="416488853"/>
      </w:pPr>
      <w:r>
        <w:t xml:space="preserve">In addition to the Annual Departmental Reports, Annual Assessment Reports for each program focus on examining student learning relative to stated programmatic learning outcomes.  The scaffold design from course to program level provides academic programs data to examine potential curricular changes that </w:t>
      </w:r>
      <w:proofErr w:type="gramStart"/>
      <w:r>
        <w:t>might be needed</w:t>
      </w:r>
      <w:proofErr w:type="gramEnd"/>
      <w:r>
        <w:t xml:space="preserve"> to increase the likelihood students persist through the major. The </w:t>
      </w:r>
      <w:hyperlink r:id="rId15" w:tgtFrame="_blank" w:history="1">
        <w:r>
          <w:rPr>
            <w:rStyle w:val="Hyperlink"/>
          </w:rPr>
          <w:t>2018-19 Academic Year Department Programmatic Assessment Reports</w:t>
        </w:r>
      </w:hyperlink>
      <w:r>
        <w:t xml:space="preserve"> provide evidence of curricular changes that programs have made </w:t>
      </w:r>
      <w:proofErr w:type="gramStart"/>
      <w:r>
        <w:t>as a result</w:t>
      </w:r>
      <w:proofErr w:type="gramEnd"/>
      <w:r>
        <w:t xml:space="preserve"> of assessment activity.</w:t>
      </w:r>
    </w:p>
    <w:p w:rsidR="00C96DAD" w:rsidRDefault="00097566">
      <w:pPr>
        <w:pStyle w:val="NormalWeb"/>
        <w:divId w:val="416488853"/>
      </w:pPr>
      <w:r>
        <w:t xml:space="preserve">Retention, persistence, and graduation data </w:t>
      </w:r>
      <w:proofErr w:type="gramStart"/>
      <w:r>
        <w:t>were used</w:t>
      </w:r>
      <w:proofErr w:type="gramEnd"/>
      <w:r>
        <w:t xml:space="preserve"> extensively in the strategic planning process to develop the plan, inform the aspirations, and establish the strategic plan metrics.  Recognition that the retention, persistence, and graduation data demonstrated the need to improve student success served as the impetus for the action planning in the Champion Student Success Aspiration as evidenced by the prioritized strategic activities for student success described below:</w:t>
      </w:r>
    </w:p>
    <w:tbl>
      <w:tblPr>
        <w:tblW w:w="9300" w:type="dxa"/>
        <w:tblCellMar>
          <w:top w:w="15" w:type="dxa"/>
          <w:left w:w="15" w:type="dxa"/>
          <w:bottom w:w="15" w:type="dxa"/>
          <w:right w:w="15" w:type="dxa"/>
        </w:tblCellMar>
        <w:tblLook w:val="04A0" w:firstRow="1" w:lastRow="0" w:firstColumn="1" w:lastColumn="0" w:noHBand="0" w:noVBand="1"/>
      </w:tblPr>
      <w:tblGrid>
        <w:gridCol w:w="9300"/>
      </w:tblGrid>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rPr>
                <w:rFonts w:eastAsia="Times New Roman"/>
                <w:b/>
                <w:bCs/>
              </w:rPr>
            </w:pPr>
            <w:r>
              <w:rPr>
                <w:rFonts w:eastAsia="Times New Roman"/>
                <w:b/>
                <w:bCs/>
              </w:rPr>
              <w:t> Champion Student Success Strategic Activity</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rPr>
                <w:rFonts w:eastAsia="Times New Roman"/>
              </w:rPr>
            </w:pPr>
            <w:r>
              <w:rPr>
                <w:rFonts w:eastAsia="Times New Roman"/>
              </w:rPr>
              <w:t>Develop a university advising model informed by the assessment of current advising practices, benchmarking of successful institutions, and advising best practices.</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rPr>
                <w:rFonts w:eastAsia="Times New Roman"/>
              </w:rPr>
            </w:pPr>
            <w:r>
              <w:rPr>
                <w:rFonts w:eastAsia="Times New Roman"/>
              </w:rPr>
              <w:t>Develop sustainable financial aid and assistance programs that make attending college a financially viable option, emphasize need, and strategically support students in all stages of their academic career. </w:t>
            </w:r>
          </w:p>
        </w:tc>
      </w:tr>
      <w:tr w:rsidR="00C96DAD">
        <w:trPr>
          <w:divId w:val="41648885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spacing w:after="225"/>
              <w:rPr>
                <w:rFonts w:eastAsia="Times New Roman"/>
              </w:rPr>
            </w:pPr>
            <w:r>
              <w:rPr>
                <w:rFonts w:eastAsia="Times New Roman"/>
              </w:rPr>
              <w:t>Increase the use of active learning strategies and High-Impact Practices in high enrolling and gateway courses and in online and hybrid courses</w:t>
            </w:r>
          </w:p>
        </w:tc>
      </w:tr>
    </w:tbl>
    <w:p w:rsidR="00C96DAD" w:rsidRDefault="00097566">
      <w:pPr>
        <w:pStyle w:val="NormalWeb"/>
        <w:divId w:val="416488853"/>
      </w:pPr>
      <w:r>
        <w:t xml:space="preserve">The discussion above illustrates how the collaborative efforts of OIR, the Office of Academic Accountability and Student Success, and the faculty within academic colleges and across the Colleges collects and analyzes information on student retention, persistence and completion of its programs and uses it in coordination with assessment of student learning to improve student success. In addition, it highlights how information on retention, persistence, and completion </w:t>
      </w:r>
      <w:proofErr w:type="gramStart"/>
      <w:r>
        <w:t>was used</w:t>
      </w:r>
      <w:proofErr w:type="gramEnd"/>
      <w:r>
        <w:t xml:space="preserve"> to focus the recent strategic planning process on student success.</w:t>
      </w:r>
    </w:p>
    <w:p w:rsidR="00C96DAD" w:rsidRDefault="00097566">
      <w:pPr>
        <w:pStyle w:val="NormalWeb"/>
        <w:divId w:val="416488853"/>
      </w:pPr>
      <w:proofErr w:type="gramStart"/>
      <w:r>
        <w:rPr>
          <w:rStyle w:val="Strong"/>
        </w:rPr>
        <w:lastRenderedPageBreak/>
        <w:t>4.C.4</w:t>
      </w:r>
      <w:proofErr w:type="gramEnd"/>
      <w:r>
        <w:rPr>
          <w:rStyle w:val="Strong"/>
        </w:rPr>
        <w:t> The institution’s processes and methodologies for collecting and analyzing information on student retention, persistence and completion of programs reflect good practice. (Institutions are not required to use IPEDS definitions in their determination of persistence or completion rates. Institutions are encouraged to choose measures that are suitable to their student populations, but institutions are accountable for the validity of their measures.)</w:t>
      </w:r>
    </w:p>
    <w:p w:rsidR="00C96DAD" w:rsidRDefault="00097566">
      <w:pPr>
        <w:pStyle w:val="NormalWeb"/>
        <w:divId w:val="416488853"/>
      </w:pPr>
      <w:r>
        <w:t>The Office of Institutional Research (OIR) collects and analyzes persistence and completion data to meet a number of reporting requirements. The basis of this reporting starts with OIR census data collection procedures combines data elements from a variety of sources into a central repository for further research and analysis purposes. Externally, the OIR annually reports retention and graduation to IPEDS, Indiana Higher Education Commission (ICHE), and Consortium for Student Retention Data Exchange (CSRDE) longitudinal retention and graduation rate study, Student Achievement Measure (SAM) benchmarking survey, and various guidebook surveys. Internally, the OIR produces a ‘student flow model’ that tracks student cohort progression and completion disaggregated by student demographic, pre-collegiate academic performance, financial aid variables, major declaration, and other factors known to influence student retention and graduation.</w:t>
      </w:r>
    </w:p>
    <w:p w:rsidR="00C96DAD" w:rsidRDefault="00097566">
      <w:pPr>
        <w:pStyle w:val="NormalWeb"/>
        <w:divId w:val="416488853"/>
      </w:pPr>
      <w:r>
        <w:t>Since the industry-wide standard is to follow federal reporting standards, the OIR implements these definitions on a semester-by-semester basis through our census data collection procedures. The important federal reporting definitions implemented is our identification of new student cohorts, student self-reported race and ethnicity, degree-seeking status used in the determination of Title IV financial aid funding, and the timing of the data collection process. Using these IPEDS definitions as the foundation of retention and graduation rate analysis, internal reports simply expands upon analysis reported to external agencies, such as the ‘student flow model’ noted above.</w:t>
      </w:r>
    </w:p>
    <w:p w:rsidR="00C96DAD" w:rsidRDefault="00097566">
      <w:pPr>
        <w:spacing w:before="100" w:beforeAutospacing="1" w:after="100" w:afterAutospacing="1"/>
        <w:divId w:val="416488853"/>
      </w:pPr>
      <w:r>
        <w:rPr>
          <w:sz w:val="23"/>
          <w:szCs w:val="23"/>
        </w:rPr>
        <w:t xml:space="preserve">The Annual Program Review document uses two data sources. The New Majors, Total Majors, Retained In and Out of Major, Stop-out, and Student Attrition measures </w:t>
      </w:r>
      <w:proofErr w:type="gramStart"/>
      <w:r>
        <w:rPr>
          <w:sz w:val="23"/>
          <w:szCs w:val="23"/>
        </w:rPr>
        <w:t>are derived</w:t>
      </w:r>
      <w:proofErr w:type="gramEnd"/>
      <w:r>
        <w:rPr>
          <w:sz w:val="23"/>
          <w:szCs w:val="23"/>
        </w:rPr>
        <w:t xml:space="preserve"> from the Office of Institutional Research Census data files. The Graduated measure </w:t>
      </w:r>
      <w:proofErr w:type="gramStart"/>
      <w:r>
        <w:rPr>
          <w:sz w:val="23"/>
          <w:szCs w:val="23"/>
        </w:rPr>
        <w:t>is derived</w:t>
      </w:r>
      <w:proofErr w:type="gramEnd"/>
      <w:r>
        <w:rPr>
          <w:sz w:val="23"/>
          <w:szCs w:val="23"/>
        </w:rPr>
        <w:t xml:space="preserve"> from Banner’s degree awarded tables. The viability metric ratios, Graduation Efficiency and Growth Trend, use a combination of the two data sources. The </w:t>
      </w:r>
      <w:hyperlink r:id="rId16" w:tgtFrame="_blank" w:history="1">
        <w:r>
          <w:rPr>
            <w:rStyle w:val="Hyperlink"/>
            <w:sz w:val="23"/>
            <w:szCs w:val="23"/>
          </w:rPr>
          <w:t>Annual Departmental Report Data Definitions</w:t>
        </w:r>
      </w:hyperlink>
      <w:bookmarkStart w:id="0" w:name="_GoBack"/>
      <w:bookmarkEnd w:id="0"/>
      <w:r>
        <w:rPr>
          <w:sz w:val="23"/>
          <w:szCs w:val="23"/>
        </w:rPr>
        <w:t> provide the data definitions used for annual reporting purposes.</w:t>
      </w:r>
    </w:p>
    <w:p w:rsidR="00C96DAD" w:rsidRDefault="00C96DAD">
      <w:pPr>
        <w:spacing w:before="100" w:beforeAutospacing="1" w:after="100" w:afterAutospacing="1"/>
        <w:divId w:val="416488853"/>
      </w:pPr>
    </w:p>
    <w:p w:rsidR="00C96DAD" w:rsidRDefault="00097566">
      <w:pPr>
        <w:spacing w:before="100" w:beforeAutospacing="1" w:after="100" w:afterAutospacing="1"/>
        <w:divId w:val="416488853"/>
      </w:pPr>
      <w:r>
        <w:t> </w:t>
      </w:r>
    </w:p>
    <w:p w:rsidR="00C96DAD" w:rsidRDefault="00C96DAD">
      <w:pPr>
        <w:spacing w:before="100" w:beforeAutospacing="1" w:after="100" w:afterAutospacing="1"/>
        <w:divId w:val="416488853"/>
      </w:pPr>
    </w:p>
    <w:p w:rsidR="00C96DAD" w:rsidRDefault="00097566">
      <w:pPr>
        <w:spacing w:before="100" w:beforeAutospacing="1" w:after="100" w:afterAutospacing="1"/>
        <w:divId w:val="416488853"/>
      </w:pPr>
      <w:r>
        <w:t> </w:t>
      </w:r>
    </w:p>
    <w:p w:rsidR="00C96DAD" w:rsidRDefault="00097566">
      <w:pPr>
        <w:pStyle w:val="NormalWeb"/>
        <w:divId w:val="416488853"/>
      </w:pPr>
      <w:r>
        <w:t> </w:t>
      </w:r>
    </w:p>
    <w:p w:rsidR="00C96DAD" w:rsidRDefault="00097566">
      <w:pPr>
        <w:pStyle w:val="Heading3"/>
        <w:divId w:val="1818716954"/>
        <w:rPr>
          <w:rFonts w:eastAsia="Times New Roman"/>
        </w:rPr>
      </w:pPr>
      <w:r>
        <w:rPr>
          <w:rFonts w:eastAsia="Times New Roman"/>
        </w:rPr>
        <w:lastRenderedPageBreak/>
        <w:t>Sources</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2018-19 Academic Year Department Programmatic Assessment Reports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8-SS 3.1 Action Plan - Narrative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Annual Departmental Report Data Definitions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CSD Annual Report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English and Linguistics 2019 Annual Report Table 2E Discussion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PFW Public Dashboard Inventory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Retention Analysis Dashboard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Retention Graduation Dashboard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Strategic Plan Metrics Report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Strategic Planning and Implementation Annual Report </w:t>
      </w:r>
    </w:p>
    <w:p w:rsidR="00C96DAD" w:rsidRDefault="00097566">
      <w:pPr>
        <w:numPr>
          <w:ilvl w:val="0"/>
          <w:numId w:val="3"/>
        </w:numPr>
        <w:spacing w:before="100" w:beforeAutospacing="1" w:after="100" w:afterAutospacing="1"/>
        <w:divId w:val="1923487551"/>
        <w:rPr>
          <w:rFonts w:eastAsia="Times New Roman"/>
        </w:rPr>
      </w:pPr>
      <w:r>
        <w:rPr>
          <w:rFonts w:eastAsia="Times New Roman"/>
        </w:rPr>
        <w:t xml:space="preserve">Theatre 2019 Annual Report </w:t>
      </w:r>
    </w:p>
    <w:p w:rsidR="00C96DAD" w:rsidRDefault="00C96DAD">
      <w:pPr>
        <w:divId w:val="2115133310"/>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C96DAD">
        <w:trPr>
          <w:divId w:val="57890759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C96DAD" w:rsidRDefault="00097566">
            <w:pPr>
              <w:tabs>
                <w:tab w:val="right" w:pos="9360"/>
              </w:tabs>
              <w:divId w:val="203692673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C96DAD" w:rsidRDefault="00097566">
            <w:pPr>
              <w:rPr>
                <w:rFonts w:eastAsia="Times New Roman"/>
              </w:rPr>
            </w:pPr>
            <w:r>
              <w:rPr>
                <w:rFonts w:eastAsia="Times New Roman"/>
              </w:rPr>
              <w:t>0</w:t>
            </w:r>
          </w:p>
        </w:tc>
      </w:tr>
    </w:tbl>
    <w:p w:rsidR="00C96DAD" w:rsidRDefault="00C96DAD">
      <w:pPr>
        <w:divId w:val="578907595"/>
        <w:rPr>
          <w:rFonts w:eastAsia="Times New Roman"/>
        </w:rPr>
      </w:pPr>
    </w:p>
    <w:sectPr w:rsidR="00C96DA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DAD" w:rsidRDefault="00097566">
      <w:r>
        <w:separator/>
      </w:r>
    </w:p>
  </w:endnote>
  <w:endnote w:type="continuationSeparator" w:id="0">
    <w:p w:rsidR="00C96DAD" w:rsidRDefault="0009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DAD" w:rsidRDefault="00097566">
      <w:r>
        <w:separator/>
      </w:r>
    </w:p>
  </w:footnote>
  <w:footnote w:type="continuationSeparator" w:id="0">
    <w:p w:rsidR="00C96DAD" w:rsidRDefault="0009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DAD" w:rsidRDefault="00097566">
    <w:pPr>
      <w:tabs>
        <w:tab w:val="right" w:pos="9360"/>
      </w:tabs>
      <w:divId w:val="203692673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8C5"/>
    <w:multiLevelType w:val="multilevel"/>
    <w:tmpl w:val="C45A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323E8B"/>
    <w:multiLevelType w:val="multilevel"/>
    <w:tmpl w:val="34B6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D604E"/>
    <w:multiLevelType w:val="multilevel"/>
    <w:tmpl w:val="CC4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66"/>
    <w:rsid w:val="00097566"/>
    <w:rsid w:val="00A509C2"/>
    <w:rsid w:val="00C96DAD"/>
    <w:rsid w:val="00FA56FE"/>
    <w:rsid w:val="00FD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DC34C-FDF8-483E-A3B5-CA3D004D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07595">
      <w:marLeft w:val="0"/>
      <w:marRight w:val="0"/>
      <w:marTop w:val="0"/>
      <w:marBottom w:val="0"/>
      <w:divBdr>
        <w:top w:val="none" w:sz="0" w:space="0" w:color="auto"/>
        <w:left w:val="none" w:sz="0" w:space="0" w:color="auto"/>
        <w:bottom w:val="none" w:sz="0" w:space="0" w:color="auto"/>
        <w:right w:val="none" w:sz="0" w:space="0" w:color="auto"/>
      </w:divBdr>
      <w:divsChild>
        <w:div w:id="944701657">
          <w:marLeft w:val="0"/>
          <w:marRight w:val="0"/>
          <w:marTop w:val="0"/>
          <w:marBottom w:val="0"/>
          <w:divBdr>
            <w:top w:val="none" w:sz="0" w:space="0" w:color="auto"/>
            <w:left w:val="none" w:sz="0" w:space="0" w:color="auto"/>
            <w:bottom w:val="none" w:sz="0" w:space="0" w:color="auto"/>
            <w:right w:val="none" w:sz="0" w:space="0" w:color="auto"/>
          </w:divBdr>
          <w:divsChild>
            <w:div w:id="20369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954">
      <w:marLeft w:val="0"/>
      <w:marRight w:val="0"/>
      <w:marTop w:val="0"/>
      <w:marBottom w:val="0"/>
      <w:divBdr>
        <w:top w:val="none" w:sz="0" w:space="0" w:color="auto"/>
        <w:left w:val="none" w:sz="0" w:space="0" w:color="auto"/>
        <w:bottom w:val="none" w:sz="0" w:space="0" w:color="auto"/>
        <w:right w:val="none" w:sz="0" w:space="0" w:color="auto"/>
      </w:divBdr>
      <w:divsChild>
        <w:div w:id="262887116">
          <w:marLeft w:val="0"/>
          <w:marRight w:val="0"/>
          <w:marTop w:val="0"/>
          <w:marBottom w:val="0"/>
          <w:divBdr>
            <w:top w:val="none" w:sz="0" w:space="0" w:color="auto"/>
            <w:left w:val="none" w:sz="0" w:space="0" w:color="auto"/>
            <w:bottom w:val="none" w:sz="0" w:space="0" w:color="auto"/>
            <w:right w:val="none" w:sz="0" w:space="0" w:color="auto"/>
          </w:divBdr>
        </w:div>
        <w:div w:id="416488853">
          <w:marLeft w:val="0"/>
          <w:marRight w:val="0"/>
          <w:marTop w:val="0"/>
          <w:marBottom w:val="0"/>
          <w:divBdr>
            <w:top w:val="none" w:sz="0" w:space="0" w:color="auto"/>
            <w:left w:val="none" w:sz="0" w:space="0" w:color="auto"/>
            <w:bottom w:val="none" w:sz="0" w:space="0" w:color="auto"/>
            <w:right w:val="none" w:sz="0" w:space="0" w:color="auto"/>
          </w:divBdr>
        </w:div>
        <w:div w:id="1923487551">
          <w:marLeft w:val="0"/>
          <w:marRight w:val="0"/>
          <w:marTop w:val="0"/>
          <w:marBottom w:val="0"/>
          <w:divBdr>
            <w:top w:val="none" w:sz="0" w:space="0" w:color="auto"/>
            <w:left w:val="none" w:sz="0" w:space="0" w:color="auto"/>
            <w:bottom w:val="none" w:sz="0" w:space="0" w:color="auto"/>
            <w:right w:val="none" w:sz="0" w:space="0" w:color="auto"/>
          </w:divBdr>
        </w:div>
      </w:divsChild>
    </w:div>
    <w:div w:id="21151333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4C/Strategic%20Planning%20and%20Implementation%20Annual%20Report%20%282%29.pdf?language_id=1" TargetMode="External"/><Relationship Id="rId13" Type="http://schemas.openxmlformats.org/officeDocument/2006/relationships/hyperlink" Target="https://www.pfw.edu/offices/accreditation/2020-comprehensive-evauluation/2020-self-study/Core-Component-4C/CSD%20Annual%20Report.pdf?language_id=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fw.edu/offices/accreditation/2020-comprehensive-evauluation/2020-self-study/Core-Component-4C/Strategic%20Plan%20Metrics%20Report-9-27-2020.pdf?language_id=1" TargetMode="External"/><Relationship Id="rId12" Type="http://schemas.openxmlformats.org/officeDocument/2006/relationships/hyperlink" Target="https://www.pfw.edu/offices/accreditation/2020-comprehensive-evauluation/2020-self-study/Core-Component-4C/Annual%20Departmental%20Report%20Data%20Definitions-2-22-2021.pdf?language_id=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4C/Annual%20Departmental%20Report%20Data%20Definitions-2-22-2021.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4C/Retention%20Graduation%20Dashboard-9-27-20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4C/2018-19%20Academic%20Year%20Department%20Programmatic%20Assessment%20Reports-1.pdf?language_id=1" TargetMode="External"/><Relationship Id="rId10" Type="http://schemas.openxmlformats.org/officeDocument/2006/relationships/hyperlink" Target="https://www.pfw.edu/offices/accreditation/2020-comprehensive-evauluation/2020-self-study/Core-Component-4C/Retention%20Analysis%20Dashboard-9-27-2020.pdf?language_id=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4C/PFW%20Public%20Dashboard%20Inventory.pdf?language_id=1" TargetMode="External"/><Relationship Id="rId14" Type="http://schemas.openxmlformats.org/officeDocument/2006/relationships/hyperlink" Target="https://www.pfw.edu/offices/accreditation/2020-comprehensive-evauluation/2020-self-study/Core-Component-4C/Theatre%202019%20Annual%20Report-2-22-2021.pdf?language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2666</Words>
  <Characters>17822</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5</cp:revision>
  <dcterms:created xsi:type="dcterms:W3CDTF">2021-03-25T21:32:00Z</dcterms:created>
  <dcterms:modified xsi:type="dcterms:W3CDTF">2021-03-29T20:38:00Z</dcterms:modified>
</cp:coreProperties>
</file>