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A1" w:rsidRDefault="00C83BD0">
      <w:pPr>
        <w:pStyle w:val="Heading2"/>
        <w:divId w:val="1530610358"/>
        <w:rPr>
          <w:rFonts w:eastAsia="Times New Roman"/>
        </w:rPr>
      </w:pPr>
      <w:proofErr w:type="gramStart"/>
      <w:r>
        <w:rPr>
          <w:rFonts w:eastAsia="Times New Roman"/>
        </w:rPr>
        <w:t>3.A</w:t>
      </w:r>
      <w:proofErr w:type="gramEnd"/>
      <w:r>
        <w:rPr>
          <w:rFonts w:eastAsia="Times New Roman"/>
        </w:rPr>
        <w:t xml:space="preserve"> - Core Component 3.A</w:t>
      </w:r>
    </w:p>
    <w:p w:rsidR="009D54A1" w:rsidRDefault="00C83BD0">
      <w:pPr>
        <w:pStyle w:val="NormalWeb"/>
        <w:divId w:val="1326518985"/>
      </w:pPr>
      <w:r>
        <w:t>The rigor of the institution’s academic offerings is appropriate to higher education.</w:t>
      </w:r>
    </w:p>
    <w:p w:rsidR="009D54A1" w:rsidRDefault="00C83BD0">
      <w:pPr>
        <w:numPr>
          <w:ilvl w:val="0"/>
          <w:numId w:val="1"/>
        </w:numPr>
        <w:spacing w:before="100" w:beforeAutospacing="1" w:after="100" w:afterAutospacing="1"/>
        <w:divId w:val="1326518985"/>
        <w:rPr>
          <w:rFonts w:eastAsia="Times New Roman"/>
        </w:rPr>
      </w:pPr>
      <w:r>
        <w:rPr>
          <w:rFonts w:eastAsia="Times New Roman"/>
        </w:rPr>
        <w:t>Courses and programs are current and require levels of student performance appropriate to the credential awarded.</w:t>
      </w:r>
    </w:p>
    <w:p w:rsidR="009D54A1" w:rsidRDefault="00C83BD0">
      <w:pPr>
        <w:numPr>
          <w:ilvl w:val="0"/>
          <w:numId w:val="1"/>
        </w:numPr>
        <w:spacing w:before="100" w:beforeAutospacing="1" w:after="100" w:afterAutospacing="1"/>
        <w:divId w:val="1326518985"/>
        <w:rPr>
          <w:rFonts w:eastAsia="Times New Roman"/>
        </w:rPr>
      </w:pPr>
      <w:r>
        <w:rPr>
          <w:rFonts w:eastAsia="Times New Roman"/>
        </w:rPr>
        <w:t>The institution articulates and differentiates learning goals for its undergraduate, graduate, post-baccalaureate, post-graduate and certificate programs.</w:t>
      </w:r>
    </w:p>
    <w:p w:rsidR="009D54A1" w:rsidRDefault="00C83BD0">
      <w:pPr>
        <w:numPr>
          <w:ilvl w:val="0"/>
          <w:numId w:val="1"/>
        </w:numPr>
        <w:spacing w:before="100" w:beforeAutospacing="1" w:after="100" w:afterAutospacing="1"/>
        <w:divId w:val="1326518985"/>
        <w:rPr>
          <w:rFonts w:eastAsia="Times New Roman"/>
        </w:rPr>
      </w:pPr>
      <w:r>
        <w:rPr>
          <w:rFonts w:eastAsia="Times New Roman"/>
        </w:rPr>
        <w:t>The institution’s program quality and learning goals are consistent across all modes of delivery and all locations (on the main campus, at additional locations, by distance delivery, as dual credit, through contractual or consortial arrangements, or any other modality).</w:t>
      </w:r>
    </w:p>
    <w:p w:rsidR="009D54A1" w:rsidRDefault="00C83BD0">
      <w:pPr>
        <w:pStyle w:val="Heading3"/>
        <w:divId w:val="1530610358"/>
        <w:rPr>
          <w:rFonts w:eastAsia="Times New Roman"/>
        </w:rPr>
      </w:pPr>
      <w:r>
        <w:rPr>
          <w:rFonts w:eastAsia="Times New Roman"/>
        </w:rPr>
        <w:t>Argument</w:t>
      </w:r>
    </w:p>
    <w:p w:rsidR="009D54A1" w:rsidRDefault="00C83BD0">
      <w:pPr>
        <w:pStyle w:val="NormalWeb"/>
        <w:divId w:val="590236881"/>
      </w:pPr>
      <w:proofErr w:type="gramStart"/>
      <w:r>
        <w:rPr>
          <w:rStyle w:val="Strong"/>
        </w:rPr>
        <w:t>3.A.1</w:t>
      </w:r>
      <w:proofErr w:type="gramEnd"/>
      <w:r>
        <w:rPr>
          <w:rStyle w:val="Strong"/>
        </w:rPr>
        <w:t> Courses and programs are current and require levels of student performance appropriate to the credential awarded.</w:t>
      </w:r>
    </w:p>
    <w:p w:rsidR="009D54A1" w:rsidRDefault="00C83BD0">
      <w:pPr>
        <w:pStyle w:val="NormalWeb"/>
        <w:divId w:val="590236881"/>
      </w:pPr>
      <w:r>
        <w:t>New courses and programs experience a rigorous review process, involving multiple layers of approval, to assure that they are high quality and at an appropriate level relative to the credential. </w:t>
      </w:r>
      <w:proofErr w:type="gramStart"/>
      <w:r>
        <w:t>Graduate programs and courses are also approved by the Purdue Graduate School at West Lafayette</w:t>
      </w:r>
      <w:proofErr w:type="gramEnd"/>
      <w:r>
        <w:t xml:space="preserve"> after receiving initial approval at Fort Wayne.  The Director of Graduate Studies at Fort Wayne forwards graduate programs and courses to the Purdue Graduate School and Dean of Grad Studies for approval.  </w:t>
      </w:r>
    </w:p>
    <w:p w:rsidR="009D54A1" w:rsidRDefault="00C83BD0">
      <w:pPr>
        <w:pStyle w:val="NormalWeb"/>
        <w:divId w:val="590236881"/>
      </w:pPr>
      <w:r>
        <w:rPr>
          <w:u w:val="single"/>
        </w:rPr>
        <w:t>Course Approval Process</w:t>
      </w:r>
    </w:p>
    <w:p w:rsidR="009D54A1" w:rsidRDefault="00C83BD0">
      <w:pPr>
        <w:pStyle w:val="NormalWeb"/>
        <w:divId w:val="590236881"/>
      </w:pPr>
      <w:r>
        <w:t>The </w:t>
      </w:r>
      <w:hyperlink r:id="rId7" w:tgtFrame="_blank" w:history="1">
        <w:r>
          <w:rPr>
            <w:rStyle w:val="Hyperlink"/>
          </w:rPr>
          <w:t>Course Processing Flowchart</w:t>
        </w:r>
      </w:hyperlink>
      <w:r>
        <w:t xml:space="preserve"> illustrates the process for approving both graduate and undergraduate courses. The process is similar for new courses or revision of existing courses.  Proposals for new/revised courses </w:t>
      </w:r>
      <w:proofErr w:type="gramStart"/>
      <w:r>
        <w:t>are initially reviewed</w:t>
      </w:r>
      <w:proofErr w:type="gramEnd"/>
      <w:r>
        <w:t xml:space="preserve"> using governance documents at the department or school level.  Proposals </w:t>
      </w:r>
      <w:proofErr w:type="gramStart"/>
      <w:r>
        <w:t>are then put</w:t>
      </w:r>
      <w:proofErr w:type="gramEnd"/>
      <w:r>
        <w:t xml:space="preserve"> into Curriculog, our online curriculum management system, where multiple levels of review are required including approval by the Department Chair, Dean, VCAA, and Registrar. At each level of review, the levels of student performance and appropriateness of the course to the credential </w:t>
      </w:r>
      <w:proofErr w:type="gramStart"/>
      <w:r>
        <w:t>are evaluated</w:t>
      </w:r>
      <w:proofErr w:type="gramEnd"/>
      <w:r>
        <w:t xml:space="preserve">. </w:t>
      </w:r>
      <w:hyperlink r:id="rId8" w:tgtFrame="_blank" w:history="1">
        <w:r>
          <w:rPr>
            <w:rStyle w:val="Hyperlink"/>
          </w:rPr>
          <w:t>Course proposal UG</w:t>
        </w:r>
      </w:hyperlink>
      <w:r>
        <w:t xml:space="preserve"> demonstrates how an Undergraduate course moved through the course approval process in Curriculog and the feedback it received to better articulate student learning outcomes. </w:t>
      </w:r>
    </w:p>
    <w:p w:rsidR="009D54A1" w:rsidRDefault="00C83BD0">
      <w:pPr>
        <w:pStyle w:val="NormalWeb"/>
        <w:divId w:val="590236881"/>
      </w:pPr>
      <w:r>
        <w:t xml:space="preserve">The process differs for graduate courses in that approval from Purdue West Lafayette Graduate School is required. The review by the Graduate School assures that, across all Purdue campuses including West Lafayette, all courses are appropriate to the specific graduate credential level, that they are high quality and reviewed by graduate faculty, and that the level of student performance is appropriate to the level of the graduate degree, program, and or certificate. Once the Graduate School approves a graduate course it proceeds through VCAA and Registrar approval to Final PWL approval.  </w:t>
      </w:r>
      <w:hyperlink r:id="rId9" w:tgtFrame="_blank" w:history="1">
        <w:r>
          <w:rPr>
            <w:rStyle w:val="Hyperlink"/>
          </w:rPr>
          <w:t>Course proposal GR</w:t>
        </w:r>
      </w:hyperlink>
      <w:r>
        <w:t xml:space="preserve"> demonstrates how a Graduate </w:t>
      </w:r>
      <w:proofErr w:type="gramStart"/>
      <w:r>
        <w:lastRenderedPageBreak/>
        <w:t>course</w:t>
      </w:r>
      <w:proofErr w:type="gramEnd"/>
      <w:r>
        <w:t xml:space="preserve"> moved through the course approval process in Curriculog and the feedback it received to better match student learning outcomes to the level expected for the credential.</w:t>
      </w:r>
    </w:p>
    <w:p w:rsidR="009D54A1" w:rsidRDefault="00C83BD0">
      <w:pPr>
        <w:pStyle w:val="NormalWeb"/>
        <w:divId w:val="590236881"/>
      </w:pPr>
      <w:r>
        <w:t>Program Approval Process</w:t>
      </w:r>
    </w:p>
    <w:p w:rsidR="009D54A1" w:rsidRDefault="00C83BD0">
      <w:pPr>
        <w:pStyle w:val="NormalWeb"/>
        <w:divId w:val="590236881"/>
      </w:pPr>
      <w:r>
        <w:t>The </w:t>
      </w:r>
      <w:hyperlink r:id="rId10" w:tgtFrame="_blank" w:history="1">
        <w:r>
          <w:rPr>
            <w:rStyle w:val="Hyperlink"/>
          </w:rPr>
          <w:t>Approval Matrix Undergraduate and Graduate Programs Revised December2020</w:t>
        </w:r>
      </w:hyperlink>
      <w:r>
        <w:t> overviews the necessary approvals for undergraduate degrees, majors, minors, certificates, and concentrations; graduate degrees, majors, minors, certificates, and concentrations; name changes for existing programs, and termination of programs.</w:t>
      </w:r>
    </w:p>
    <w:p w:rsidR="009D54A1" w:rsidRDefault="00C83BD0">
      <w:pPr>
        <w:pStyle w:val="NormalWeb"/>
        <w:divId w:val="590236881"/>
      </w:pPr>
      <w:r>
        <w:t>As illustrated in the matrix, multiple levels of review and approvals are necessary for new academic programs.  For example, were Purdue Fort Wayne to propose a course at a level above the Master's degree, the program would go through the University Remonstrance process before seeking approval from the Graduate Subcommittee, Faculty Senate, the VCAA and Chancellor at the campus level.  At the Purdue System Level, the Graduate School, Purdue Provost, Purdue President, and the Board of Trustees would approve the proposal.  Finally, both ICHE and HLC approval would be required.  Presently, a post-masters program is proceeding through the initial stages of this process. As is evident in the Matrix, the same requirements for graduate course approval apply to graduate programs; specifically, proposed Graduate Programs require approval by the Purdue Graduate School. </w:t>
      </w:r>
    </w:p>
    <w:p w:rsidR="009D54A1" w:rsidRDefault="00C83BD0">
      <w:pPr>
        <w:pStyle w:val="NormalWeb"/>
        <w:divId w:val="590236881"/>
      </w:pPr>
      <w:r>
        <w:t xml:space="preserve">To assure the process </w:t>
      </w:r>
      <w:proofErr w:type="gramStart"/>
      <w:r>
        <w:t>is clearly communicated</w:t>
      </w:r>
      <w:proofErr w:type="gramEnd"/>
      <w:r>
        <w:t xml:space="preserve"> to academic units, a </w:t>
      </w:r>
      <w:hyperlink r:id="rId11" w:tgtFrame="_blank" w:history="1">
        <w:r>
          <w:rPr>
            <w:rStyle w:val="Hyperlink"/>
          </w:rPr>
          <w:t>timeline</w:t>
        </w:r>
      </w:hyperlink>
      <w:r>
        <w:t xml:space="preserve"> is published annually on the Academic Programs webpage specifying deadlines for each step in the approval process. The sections below describe the process used to affirm that the design of programs and courses require levels of student performance appropriate to the level of credential awarded. Undergraduate Programs proceed through a multi-step process beginning with a pre-approval process outlined in OAA Memo 19-2 to a consultation process prior to completing required forms such as the </w:t>
      </w:r>
      <w:hyperlink r:id="rId12" w:tgtFrame="_blank" w:history="1">
        <w:r>
          <w:rPr>
            <w:rStyle w:val="Hyperlink"/>
          </w:rPr>
          <w:t>PFW Request for New Major or Concentrarion-3-26-19</w:t>
        </w:r>
      </w:hyperlink>
      <w:r>
        <w:t xml:space="preserve">. Once all forms are completed and submitted to the Office of Academic Affairs, the proposal proceeds through the program review and approval process. Throughout the full approval process, multiple peer faculty committees and the Office of Academic Affairs review the documentation and as part of that review verify that the learning outcomes and objectives proposed for the new program are at a level appropriate to the credential.  OAA 19-2 outlines the consultation and pre-approval process for the development of undergraduate and graduate programs. The </w:t>
      </w:r>
      <w:hyperlink r:id="rId13" w:tgtFrame="_blank" w:history="1">
        <w:r>
          <w:rPr>
            <w:rStyle w:val="Hyperlink"/>
          </w:rPr>
          <w:t>supporting documentation for the memo</w:t>
        </w:r>
      </w:hyperlink>
      <w:r>
        <w:t>, states a requirement that proposed programs and courses are relevant, rigorous, and differentiated and recommends the Anderson and Krathwohl (2001) revised Blooms Taxonomy to develop outcomes that assure the levels of student performance are appropriate to the credential.  The Program Approval Process for undergraduate programs requires that academic departments state </w:t>
      </w:r>
      <w:proofErr w:type="gramStart"/>
      <w:r>
        <w:t>program learning</w:t>
      </w:r>
      <w:proofErr w:type="gramEnd"/>
      <w:r>
        <w:t xml:space="preserve"> objectives in the</w:t>
      </w:r>
      <w:hyperlink r:id="rId14" w:tgtFrame="_blank" w:history="1">
        <w:r>
          <w:rPr>
            <w:rStyle w:val="Hyperlink"/>
          </w:rPr>
          <w:t xml:space="preserve"> application requesting a new major or concentration</w:t>
        </w:r>
      </w:hyperlink>
      <w:r>
        <w:t xml:space="preserve">.  The </w:t>
      </w:r>
      <w:hyperlink r:id="rId15" w:tgtFrame="_blank" w:history="1">
        <w:r>
          <w:rPr>
            <w:rStyle w:val="Hyperlink"/>
          </w:rPr>
          <w:t>Undergraduate Program Processing Chart </w:t>
        </w:r>
      </w:hyperlink>
      <w:r>
        <w:t>and the </w:t>
      </w:r>
      <w:hyperlink r:id="rId16" w:tgtFrame="_blank" w:history="1">
        <w:r>
          <w:rPr>
            <w:rStyle w:val="Hyperlink"/>
          </w:rPr>
          <w:t>Graduate Program Processing Chart</w:t>
        </w:r>
      </w:hyperlink>
      <w:r>
        <w:t xml:space="preserve"> describe the approval and remonstrance process for new programs. The Program Approval Process for graduate programs requires stated learning outcomes in the application as stated in </w:t>
      </w:r>
      <w:hyperlink r:id="rId17" w:tgtFrame="_blank" w:history="1">
        <w:r>
          <w:rPr>
            <w:rStyle w:val="Hyperlink"/>
          </w:rPr>
          <w:t>Grad Policy 4-21-16</w:t>
        </w:r>
      </w:hyperlink>
      <w:r>
        <w:t>.</w:t>
      </w:r>
    </w:p>
    <w:p w:rsidR="009D54A1" w:rsidRDefault="00A6624E">
      <w:pPr>
        <w:pStyle w:val="NormalWeb"/>
        <w:divId w:val="590236881"/>
      </w:pPr>
      <w:hyperlink r:id="rId18" w:tgtFrame="_blank" w:history="1">
        <w:r w:rsidR="00C83BD0">
          <w:rPr>
            <w:rStyle w:val="Hyperlink"/>
          </w:rPr>
          <w:t>Program Review Process Examples</w:t>
        </w:r>
      </w:hyperlink>
      <w:r w:rsidR="00C83BD0">
        <w:t xml:space="preserve"> illustrate how three proposals (i.e., new Undergraduate degree, new Certificate, and new Masters </w:t>
      </w:r>
      <w:proofErr w:type="gramStart"/>
      <w:r w:rsidR="00C83BD0">
        <w:t>degree</w:t>
      </w:r>
      <w:proofErr w:type="gramEnd"/>
      <w:r w:rsidR="00C83BD0">
        <w:t xml:space="preserve">) moved through the approval process both </w:t>
      </w:r>
      <w:r w:rsidR="00C83BD0">
        <w:lastRenderedPageBreak/>
        <w:t xml:space="preserve">inside and outside of Curriculog. It also illustrates levels of review for each program appropriate for the degree level.  </w:t>
      </w:r>
      <w:r w:rsidR="00BC3046">
        <w:t>The</w:t>
      </w:r>
      <w:r w:rsidR="00C83BD0">
        <w:t> Bachelor of Science in Criminal Justice and the Death Education Certificate </w:t>
      </w:r>
      <w:proofErr w:type="gramStart"/>
      <w:r w:rsidR="00C83BD0">
        <w:t>were initially reviewed and submitted to Senate for approval by Purdue Fort Wayne's Curriculum Review Subcommittee</w:t>
      </w:r>
      <w:proofErr w:type="gramEnd"/>
      <w:r w:rsidR="00C83BD0">
        <w:t xml:space="preserve">. </w:t>
      </w:r>
      <w:proofErr w:type="gramStart"/>
      <w:r w:rsidR="00C83BD0">
        <w:t>The Death Education Certificate was forwarded by Senate</w:t>
      </w:r>
      <w:proofErr w:type="gramEnd"/>
      <w:r w:rsidR="00C83BD0">
        <w:t xml:space="preserve"> to the Chancellor and VCAA for final approval. The Bachelor of Science in Criminal </w:t>
      </w:r>
      <w:proofErr w:type="gramStart"/>
      <w:r w:rsidR="00C83BD0">
        <w:t>Justice,</w:t>
      </w:r>
      <w:proofErr w:type="gramEnd"/>
      <w:r w:rsidR="00C83BD0">
        <w:t xml:space="preserve"> was subject to additional review and approval by both the Purdue Board of Trustees and the Indiana Commission for Higher Education. Graduate Programs</w:t>
      </w:r>
      <w:r w:rsidR="00BC3046">
        <w:t> at</w:t>
      </w:r>
      <w:r w:rsidR="00C83BD0">
        <w:t xml:space="preserve"> Purdue Fort Wayne </w:t>
      </w:r>
      <w:proofErr w:type="gramStart"/>
      <w:r w:rsidR="00C83BD0">
        <w:t>are housed</w:t>
      </w:r>
      <w:proofErr w:type="gramEnd"/>
      <w:r w:rsidR="00C83BD0">
        <w:t xml:space="preserve"> within the Purdue University West Lafayette Graduate School.  As illustrated in the example, the Masters of Music Therapy required approval by the Graduate Subcommittee at West Lafayette prior to routing back through Purdue Fort Wayne's process in which the Senate, Chancellor/VCAA, Purdue BOT, then final approval by Indiana Commission for Higher Education.   </w:t>
      </w:r>
    </w:p>
    <w:p w:rsidR="009D54A1" w:rsidRDefault="00C83BD0">
      <w:pPr>
        <w:pStyle w:val="NormalWeb"/>
        <w:divId w:val="590236881"/>
      </w:pPr>
      <w:r>
        <w:t xml:space="preserve">The processes for review and approval across degree types assures that the programs are developed at sufficient rigor for the level at which they are conferred.  The Assessment Plan (discussed in full in section 4) requires all programs to develop appropriate programmatic student learning outcomes and map outcomes to courses in the program.  It also requires that programs demonstrate how outcomes </w:t>
      </w:r>
      <w:proofErr w:type="gramStart"/>
      <w:r>
        <w:t>are developed</w:t>
      </w:r>
      <w:proofErr w:type="gramEnd"/>
      <w:r>
        <w:t xml:space="preserve"> in progression through the curriculum and the level of mastery expected of students relative to the outcome. This ongoing process assures that courses are current, of sufficient rigor relative to the degree, and continually striving to improve quality.</w:t>
      </w:r>
    </w:p>
    <w:p w:rsidR="009D54A1" w:rsidRDefault="00C83BD0">
      <w:pPr>
        <w:pStyle w:val="NormalWeb"/>
        <w:divId w:val="590236881"/>
      </w:pPr>
      <w:r>
        <w:t xml:space="preserve">At the undergraduate level, representing the majority of our programs and enrollment, programmatic learning outcomes </w:t>
      </w:r>
      <w:proofErr w:type="gramStart"/>
      <w:r>
        <w:t>are stated</w:t>
      </w:r>
      <w:proofErr w:type="gramEnd"/>
      <w:r>
        <w:t xml:space="preserve"> for each major in the university.  The </w:t>
      </w:r>
      <w:proofErr w:type="gramStart"/>
      <w:r>
        <w:t>outcomes along with the assessment of those outcomes demonstrates</w:t>
      </w:r>
      <w:proofErr w:type="gramEnd"/>
      <w:r>
        <w:t xml:space="preserve"> that learning in undergraduate majors is appropriate to the degree awarded.  In addition, specialized accreditation for programs in Education, Engineering, Visual and Performing Arts provide external reviews of the quality and rigor of programs as well as the appropriateness of their outcomes to the degree offered.</w:t>
      </w:r>
    </w:p>
    <w:p w:rsidR="009D54A1" w:rsidRDefault="00C83BD0">
      <w:pPr>
        <w:pStyle w:val="NormalWeb"/>
        <w:divId w:val="590236881"/>
      </w:pPr>
      <w:r>
        <w:t> </w:t>
      </w:r>
      <w:proofErr w:type="gramStart"/>
      <w:r>
        <w:rPr>
          <w:rStyle w:val="Strong"/>
        </w:rPr>
        <w:t>3.A.2</w:t>
      </w:r>
      <w:proofErr w:type="gramEnd"/>
      <w:r>
        <w:rPr>
          <w:rStyle w:val="Strong"/>
        </w:rPr>
        <w:t> The institution articulates and differentiates learning goals for its undergraduate, graduate, post-baccalaureate, post-graduate and certificate programs</w:t>
      </w:r>
      <w:r>
        <w:t>.</w:t>
      </w:r>
    </w:p>
    <w:p w:rsidR="009D54A1" w:rsidRDefault="00C83BD0">
      <w:pPr>
        <w:pStyle w:val="NormalWeb"/>
        <w:divId w:val="590236881"/>
      </w:pPr>
      <w:r>
        <w:t xml:space="preserve">The supporting documentation for OAA 19-2 discussed in 3.A.1 provides guidance on distinguishing the levels of learning between undergraduate and graduate programs using Krathwohl, et al (2001) as a guide for developing appropriate outcomes.  OAA 19-2 </w:t>
      </w:r>
      <w:proofErr w:type="gramStart"/>
      <w:r>
        <w:t>was revised with the specific intent to raise the expectations for all programs and courses to be relevant, rigorous, and differentiated across levels</w:t>
      </w:r>
      <w:proofErr w:type="gramEnd"/>
      <w:r>
        <w:t xml:space="preserve">.  Supporting documentation for the memo provides guidance for faculty on applying the Krathwohl, </w:t>
      </w:r>
      <w:proofErr w:type="gramStart"/>
      <w:r>
        <w:t>et</w:t>
      </w:r>
      <w:proofErr w:type="gramEnd"/>
      <w:r>
        <w:t xml:space="preserve">. </w:t>
      </w:r>
      <w:proofErr w:type="gramStart"/>
      <w:r>
        <w:t>al</w:t>
      </w:r>
      <w:proofErr w:type="gramEnd"/>
      <w:r>
        <w:t xml:space="preserve"> (2001) revised Blooms taxonomy to develop outcomes that assure the levels of student performance are appropriate to the credential.  The </w:t>
      </w:r>
      <w:hyperlink r:id="rId19" w:history="1">
        <w:r w:rsidRPr="00A6624E">
          <w:rPr>
            <w:rStyle w:val="Hyperlink"/>
          </w:rPr>
          <w:t>Assessment Manual </w:t>
        </w:r>
      </w:hyperlink>
      <w:bookmarkStart w:id="0" w:name="_GoBack"/>
      <w:bookmarkEnd w:id="0"/>
      <w:r>
        <w:t>aligns to the memo and describes outcome development in the context of programmatic assessment.  The </w:t>
      </w:r>
      <w:hyperlink r:id="rId20" w:tgtFrame="_blank" w:history="1">
        <w:r>
          <w:rPr>
            <w:rStyle w:val="Hyperlink"/>
          </w:rPr>
          <w:t>Assessment Workbook</w:t>
        </w:r>
      </w:hyperlink>
      <w:r>
        <w:t xml:space="preserve"> provides a series of guided steps to develop outcomes and curricular maps at a level appropriate to the course in the context of scaffolds to ensure students achieve expected levels of learning throughout program matriculation.  The Handbook and Workbook </w:t>
      </w:r>
      <w:proofErr w:type="gramStart"/>
      <w:r>
        <w:t>were developed in conjunction with participation in the Assessment Academy and reviewed by Assessment Academy mentors</w:t>
      </w:r>
      <w:proofErr w:type="gramEnd"/>
      <w:r>
        <w:t xml:space="preserve">.  Faculty committees, especially at the university-level, </w:t>
      </w:r>
      <w:proofErr w:type="gramStart"/>
      <w:r>
        <w:t>are expected</w:t>
      </w:r>
      <w:proofErr w:type="gramEnd"/>
      <w:r>
        <w:t xml:space="preserve"> to review the stated student learning </w:t>
      </w:r>
      <w:r>
        <w:lastRenderedPageBreak/>
        <w:t xml:space="preserve">outcomes and evaluate them as appropriate to the level of the program. The Associate Vice Chancellor for Academic Programs reviews all course and program proposals for rigor in student learning outcomes. She invites revisions to the proposals (course and program) before moving them forward in the approval process (see </w:t>
      </w:r>
      <w:hyperlink r:id="rId21" w:tgtFrame="_blank" w:history="1">
        <w:r>
          <w:rPr>
            <w:rStyle w:val="Hyperlink"/>
          </w:rPr>
          <w:t>Course proposal UG</w:t>
        </w:r>
      </w:hyperlink>
      <w:r>
        <w:t> and </w:t>
      </w:r>
      <w:hyperlink r:id="rId22" w:tgtFrame="_blank" w:history="1">
        <w:r>
          <w:rPr>
            <w:rStyle w:val="Hyperlink"/>
          </w:rPr>
          <w:t>Course proposal GR</w:t>
        </w:r>
      </w:hyperlink>
      <w:r>
        <w:t>)</w:t>
      </w:r>
    </w:p>
    <w:p w:rsidR="009D54A1" w:rsidRDefault="00C83BD0">
      <w:pPr>
        <w:pStyle w:val="NormalWeb"/>
        <w:divId w:val="590236881"/>
      </w:pPr>
      <w:r>
        <w:t xml:space="preserve">The university wide emphasis on student learning outcomes assessment and curricular mapping has helped improve curricula in the context progressive learning as students proceed through a specific </w:t>
      </w:r>
      <w:proofErr w:type="gramStart"/>
      <w:r>
        <w:t>degree and differentiation</w:t>
      </w:r>
      <w:proofErr w:type="gramEnd"/>
      <w:r>
        <w:t xml:space="preserve"> and alignment at appropriate levels between degree levels.  The </w:t>
      </w:r>
      <w:hyperlink r:id="rId23" w:tgtFrame="_blank" w:history="1">
        <w:proofErr w:type="gramStart"/>
        <w:r>
          <w:rPr>
            <w:rStyle w:val="Hyperlink"/>
          </w:rPr>
          <w:t>DSB Learning Outcomes Differentiation</w:t>
        </w:r>
      </w:hyperlink>
      <w:r>
        <w:t> tables from their 2018-19 Assessment Report illustrates</w:t>
      </w:r>
      <w:proofErr w:type="gramEnd"/>
      <w:r>
        <w:t xml:space="preserve"> how the BSB and MBA learning goals and objectives (SLOs) are differentiated. </w:t>
      </w:r>
    </w:p>
    <w:tbl>
      <w:tblPr>
        <w:tblW w:w="9300" w:type="dxa"/>
        <w:tblCellMar>
          <w:top w:w="15" w:type="dxa"/>
          <w:left w:w="15" w:type="dxa"/>
          <w:bottom w:w="15" w:type="dxa"/>
          <w:right w:w="15" w:type="dxa"/>
        </w:tblCellMar>
        <w:tblLook w:val="04A0" w:firstRow="1" w:lastRow="0" w:firstColumn="1" w:lastColumn="0" w:noHBand="0" w:noVBand="1"/>
      </w:tblPr>
      <w:tblGrid>
        <w:gridCol w:w="4062"/>
        <w:gridCol w:w="5238"/>
      </w:tblGrid>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jc w:val="center"/>
              <w:rPr>
                <w:rFonts w:eastAsia="Times New Roman"/>
                <w:b/>
                <w:bCs/>
              </w:rPr>
            </w:pPr>
            <w:r>
              <w:rPr>
                <w:rFonts w:eastAsia="Times New Roman"/>
                <w:b/>
                <w:bCs/>
              </w:rPr>
              <w:t>BSB Learning Goals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jc w:val="center"/>
              <w:rPr>
                <w:rFonts w:eastAsia="Times New Roman"/>
                <w:b/>
                <w:bCs/>
              </w:rPr>
            </w:pPr>
            <w:r>
              <w:rPr>
                <w:rFonts w:eastAsia="Times New Roman"/>
                <w:b/>
                <w:bCs/>
              </w:rPr>
              <w:t>MBA Learning Goals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Style w:val="Emphasis"/>
                <w:rFonts w:eastAsia="Times New Roman"/>
              </w:rPr>
              <w:t>Upon graduation, DSB students will</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Upon graduation, MBA students will demonstrate</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Demonstrate competency in fundamental business knowledge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The knowledge of concepts and theories in each of the functional business disciplines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Solve business problems through critical</w:t>
            </w:r>
            <w:r>
              <w:rPr>
                <w:rFonts w:eastAsia="Times New Roman"/>
              </w:rPr>
              <w:br/>
              <w:t>thinking skills and quantitative analysis</w:t>
            </w:r>
            <w:r>
              <w:rPr>
                <w:rFonts w:eastAsia="Times New Roman"/>
              </w:rPr>
              <w:br/>
              <w:t>techniques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The ability to transcend functional</w:t>
            </w:r>
            <w:r>
              <w:rPr>
                <w:rFonts w:eastAsia="Times New Roman"/>
              </w:rPr>
              <w:br/>
              <w:t>boundaries, synthesize and integrate</w:t>
            </w:r>
            <w:r>
              <w:rPr>
                <w:rFonts w:eastAsia="Times New Roman"/>
              </w:rPr>
              <w:br/>
              <w:t>strategic information to generate</w:t>
            </w:r>
            <w:r>
              <w:rPr>
                <w:rFonts w:eastAsia="Times New Roman"/>
              </w:rPr>
              <w:br/>
              <w:t>innovative solutions under complex</w:t>
            </w:r>
            <w:r>
              <w:rPr>
                <w:rFonts w:eastAsia="Times New Roman"/>
              </w:rPr>
              <w:br/>
              <w:t>business situations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Understand the global economic</w:t>
            </w:r>
            <w:r>
              <w:rPr>
                <w:rFonts w:eastAsia="Times New Roman"/>
              </w:rPr>
              <w:br/>
              <w:t>environment and consider global factors</w:t>
            </w:r>
            <w:r>
              <w:rPr>
                <w:rFonts w:eastAsia="Times New Roman"/>
              </w:rPr>
              <w:br/>
              <w:t>in business decisions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The ability to analyze business</w:t>
            </w:r>
            <w:r>
              <w:rPr>
                <w:rFonts w:eastAsia="Times New Roman"/>
              </w:rPr>
              <w:br/>
              <w:t>information in a rapidly changing global</w:t>
            </w:r>
            <w:r>
              <w:rPr>
                <w:rFonts w:eastAsia="Times New Roman"/>
              </w:rPr>
              <w:br/>
              <w:t>environment</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Understand ethical, legal and regulatory</w:t>
            </w:r>
            <w:r>
              <w:rPr>
                <w:rFonts w:eastAsia="Times New Roman"/>
              </w:rPr>
              <w:br/>
              <w:t>implications of business decisions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The ability to understand professional</w:t>
            </w:r>
            <w:r>
              <w:rPr>
                <w:rFonts w:eastAsia="Times New Roman"/>
              </w:rPr>
              <w:br/>
              <w:t>and social responsibility in the conduct</w:t>
            </w:r>
            <w:r>
              <w:rPr>
                <w:rFonts w:eastAsia="Times New Roman"/>
              </w:rPr>
              <w:br/>
              <w:t>of managerial affairs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Demonstrate effective communication</w:t>
            </w:r>
            <w:r>
              <w:rPr>
                <w:rFonts w:eastAsia="Times New Roman"/>
              </w:rPr>
              <w:br/>
              <w:t>skills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Effective written and oral presentation</w:t>
            </w:r>
            <w:r>
              <w:rPr>
                <w:rFonts w:eastAsia="Times New Roman"/>
              </w:rPr>
              <w:br/>
              <w:t>skills</w:t>
            </w:r>
          </w:p>
        </w:tc>
      </w:tr>
    </w:tbl>
    <w:p w:rsidR="009D54A1" w:rsidRDefault="00C83BD0">
      <w:pPr>
        <w:pStyle w:val="NormalWeb"/>
        <w:divId w:val="590236881"/>
      </w:pPr>
      <w:r>
        <w:t xml:space="preserve"> DSB Goals are further delineated through specific learning objectives representing what students will know and be able to do and expressed as student learning outcomes stated in terms that identify the cognitive level of learning expected consistent with Krathwohl, </w:t>
      </w:r>
      <w:proofErr w:type="gramStart"/>
      <w:r>
        <w:t>et</w:t>
      </w:r>
      <w:proofErr w:type="gramEnd"/>
      <w:r>
        <w:t xml:space="preserve">. </w:t>
      </w:r>
      <w:proofErr w:type="gramStart"/>
      <w:r>
        <w:t>al</w:t>
      </w:r>
      <w:proofErr w:type="gramEnd"/>
      <w:r>
        <w:t>.</w:t>
      </w:r>
    </w:p>
    <w:tbl>
      <w:tblPr>
        <w:tblW w:w="9300" w:type="dxa"/>
        <w:tblCellMar>
          <w:top w:w="15" w:type="dxa"/>
          <w:left w:w="15" w:type="dxa"/>
          <w:bottom w:w="15" w:type="dxa"/>
          <w:right w:w="15" w:type="dxa"/>
        </w:tblCellMar>
        <w:tblLook w:val="04A0" w:firstRow="1" w:lastRow="0" w:firstColumn="1" w:lastColumn="0" w:noHBand="0" w:noVBand="1"/>
      </w:tblPr>
      <w:tblGrid>
        <w:gridCol w:w="4258"/>
        <w:gridCol w:w="5042"/>
      </w:tblGrid>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jc w:val="center"/>
              <w:rPr>
                <w:rFonts w:eastAsia="Times New Roman"/>
                <w:b/>
                <w:bCs/>
              </w:rPr>
            </w:pPr>
            <w:r>
              <w:rPr>
                <w:rFonts w:eastAsia="Times New Roman"/>
                <w:b/>
                <w:bCs/>
              </w:rPr>
              <w:t>BSB Learning Objectives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jc w:val="center"/>
              <w:rPr>
                <w:rFonts w:eastAsia="Times New Roman"/>
                <w:b/>
                <w:bCs/>
              </w:rPr>
            </w:pPr>
            <w:r>
              <w:rPr>
                <w:rFonts w:eastAsia="Times New Roman"/>
                <w:b/>
                <w:bCs/>
              </w:rPr>
              <w:t> MBA Learning Objectives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lastRenderedPageBreak/>
              <w:t> 1. Define, describe, and understand fundamental</w:t>
            </w:r>
            <w:r>
              <w:rPr>
                <w:rFonts w:eastAsia="Times New Roman"/>
              </w:rPr>
              <w:br/>
              <w:t>business terminology and concepts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 1. Master business knowledge and theories across functional areas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Identify and summarize central problems in complex</w:t>
            </w:r>
            <w:r>
              <w:rPr>
                <w:rFonts w:eastAsia="Times New Roman"/>
              </w:rPr>
              <w:br/>
              <w:t>business situations</w:t>
            </w:r>
            <w:r>
              <w:rPr>
                <w:rFonts w:eastAsia="Times New Roman"/>
              </w:rPr>
              <w:br/>
              <w:t>2. Correctly integrate business theories and apply</w:t>
            </w:r>
            <w:r>
              <w:rPr>
                <w:rFonts w:eastAsia="Times New Roman"/>
              </w:rPr>
              <w:br/>
              <w:t>business models to address problems</w:t>
            </w:r>
            <w:r>
              <w:rPr>
                <w:rFonts w:eastAsia="Times New Roman"/>
              </w:rPr>
              <w:br/>
              <w:t>3. Generate plausible solutions to problems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Perform environmental scanning necessary for</w:t>
            </w:r>
            <w:r>
              <w:rPr>
                <w:rFonts w:eastAsia="Times New Roman"/>
              </w:rPr>
              <w:br/>
              <w:t>strategic decisions</w:t>
            </w:r>
            <w:r>
              <w:rPr>
                <w:rFonts w:eastAsia="Times New Roman"/>
              </w:rPr>
              <w:br/>
              <w:t>2. Integrate and synthesize strategic information in</w:t>
            </w:r>
            <w:r>
              <w:rPr>
                <w:rFonts w:eastAsia="Times New Roman"/>
              </w:rPr>
              <w:br/>
              <w:t>competitive analysis to generate innovative solutions</w:t>
            </w:r>
            <w:r>
              <w:rPr>
                <w:rFonts w:eastAsia="Times New Roman"/>
              </w:rPr>
              <w:br/>
              <w:t>to problems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Understand global economic environment</w:t>
            </w:r>
            <w:r>
              <w:rPr>
                <w:rFonts w:eastAsia="Times New Roman"/>
              </w:rPr>
              <w:br/>
              <w:t>2. Analyze the impact of global factors on business</w:t>
            </w:r>
            <w:r>
              <w:rPr>
                <w:rFonts w:eastAsia="Times New Roman"/>
              </w:rPr>
              <w:br/>
              <w:t>decisions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Identify and recognize differences in business</w:t>
            </w:r>
            <w:r>
              <w:rPr>
                <w:rFonts w:eastAsia="Times New Roman"/>
              </w:rPr>
              <w:br/>
              <w:t>environment across countries</w:t>
            </w:r>
            <w:r>
              <w:rPr>
                <w:rFonts w:eastAsia="Times New Roman"/>
              </w:rPr>
              <w:br/>
              <w:t>2. Analyze and evaluate the impact of global factors on</w:t>
            </w:r>
            <w:r>
              <w:rPr>
                <w:rFonts w:eastAsia="Times New Roman"/>
              </w:rPr>
              <w:br/>
              <w:t>business decisions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Identify and understand ethical, legal, and regulatory</w:t>
            </w:r>
            <w:r>
              <w:rPr>
                <w:rFonts w:eastAsia="Times New Roman"/>
              </w:rPr>
              <w:br/>
              <w:t>issues in business decisions.</w:t>
            </w:r>
            <w:r>
              <w:rPr>
                <w:rFonts w:eastAsia="Times New Roman"/>
              </w:rPr>
              <w:br/>
              <w:t>2. Analyze ethical dilemmas and propose alternatives.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Identify the relevant professional and social</w:t>
            </w:r>
            <w:r>
              <w:rPr>
                <w:rFonts w:eastAsia="Times New Roman"/>
              </w:rPr>
              <w:br/>
              <w:t>responsibility issues in a business decision</w:t>
            </w:r>
            <w:r>
              <w:rPr>
                <w:rFonts w:eastAsia="Times New Roman"/>
              </w:rPr>
              <w:br/>
              <w:t>2. Generate solutions to ethical dilemmas and choose</w:t>
            </w:r>
            <w:r>
              <w:rPr>
                <w:rFonts w:eastAsia="Times New Roman"/>
              </w:rPr>
              <w:br/>
              <w:t>socially responsible actions</w:t>
            </w:r>
          </w:p>
        </w:tc>
      </w:tr>
      <w:tr w:rsidR="009D54A1">
        <w:trPr>
          <w:divId w:val="590236881"/>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Write effectively and professionally in business</w:t>
            </w:r>
            <w:r>
              <w:rPr>
                <w:rFonts w:eastAsia="Times New Roman"/>
              </w:rPr>
              <w:br/>
              <w:t>settings.</w:t>
            </w:r>
            <w:r>
              <w:rPr>
                <w:rFonts w:eastAsia="Times New Roman"/>
              </w:rPr>
              <w:br/>
              <w:t>2. Speak and present effectively in business settings.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spacing w:after="225"/>
              <w:rPr>
                <w:rFonts w:eastAsia="Times New Roman"/>
              </w:rPr>
            </w:pPr>
            <w:r>
              <w:rPr>
                <w:rFonts w:eastAsia="Times New Roman"/>
              </w:rPr>
              <w:t>1. Write effectively and professionally in business</w:t>
            </w:r>
            <w:r>
              <w:rPr>
                <w:rFonts w:eastAsia="Times New Roman"/>
              </w:rPr>
              <w:br/>
              <w:t>settings</w:t>
            </w:r>
            <w:r>
              <w:rPr>
                <w:rFonts w:eastAsia="Times New Roman"/>
              </w:rPr>
              <w:br/>
              <w:t>2. Speak and present effectively in business settings</w:t>
            </w:r>
          </w:p>
        </w:tc>
      </w:tr>
    </w:tbl>
    <w:p w:rsidR="009D54A1" w:rsidRDefault="00C83BD0">
      <w:pPr>
        <w:pStyle w:val="NormalWeb"/>
        <w:divId w:val="590236881"/>
      </w:pPr>
      <w:r>
        <w:t xml:space="preserve">The comparison of objectives demonstrate that at the MBA level, students are required to demonstrate more breadth of knowledge mastering business knowledge and theories across functional areas.  The objectives </w:t>
      </w:r>
      <w:proofErr w:type="gramStart"/>
      <w:r>
        <w:t>are stated</w:t>
      </w:r>
      <w:proofErr w:type="gramEnd"/>
      <w:r>
        <w:t xml:space="preserve"> at higher cognitive levels with the exception of the communication objective.   </w:t>
      </w:r>
    </w:p>
    <w:p w:rsidR="009D54A1" w:rsidRDefault="00C83BD0">
      <w:pPr>
        <w:pStyle w:val="NormalWeb"/>
        <w:divId w:val="590236881"/>
      </w:pPr>
      <w:r>
        <w:t xml:space="preserve">Once programs are approved, the annual assessment process encourages the use of data to continually improve and differentiate </w:t>
      </w:r>
      <w:proofErr w:type="gramStart"/>
      <w:r>
        <w:t>student learning</w:t>
      </w:r>
      <w:proofErr w:type="gramEnd"/>
      <w:r>
        <w:t xml:space="preserve"> outcomes. </w:t>
      </w:r>
      <w:hyperlink r:id="rId24" w:tgtFrame="_blank" w:history="1">
        <w:r>
          <w:rPr>
            <w:rStyle w:val="Hyperlink"/>
          </w:rPr>
          <w:t xml:space="preserve">Senate Document 15-6 </w:t>
        </w:r>
      </w:hyperlink>
      <w:r>
        <w:t xml:space="preserve">outlines the rationale and components of the annual self-study conducted on all programs within a department. The assessment report “emphasizes a strategy that integrates assessment in the teaching and learning process to improve student achievement relative to stated student learning outcomes (SLOs)” (p. 5) and leads “to the improvement of academic programs and continual improvement of … SLOs” (p. 6). During this process, </w:t>
      </w:r>
      <w:proofErr w:type="gramStart"/>
      <w:r>
        <w:t>program reports are reviewed by a college committee and the Director of Assessment</w:t>
      </w:r>
      <w:proofErr w:type="gramEnd"/>
      <w:r>
        <w:t xml:space="preserve">. The process </w:t>
      </w:r>
      <w:proofErr w:type="gramStart"/>
      <w:r>
        <w:t>is described</w:t>
      </w:r>
      <w:proofErr w:type="gramEnd"/>
      <w:r>
        <w:t xml:space="preserve"> in detail throughout the Core Component 4 argument.</w:t>
      </w:r>
    </w:p>
    <w:p w:rsidR="009D54A1" w:rsidRDefault="00C83BD0">
      <w:pPr>
        <w:pStyle w:val="NormalWeb"/>
        <w:divId w:val="590236881"/>
      </w:pPr>
      <w:r>
        <w:lastRenderedPageBreak/>
        <w:t xml:space="preserve">Similar to other comprehensive baccalaureate focused institutions, PFW must cross-list some courses, allowing some courses within graduate programs to serve undergraduate and graduate students simultaneously. While they receive similar instruction, students </w:t>
      </w:r>
      <w:proofErr w:type="gramStart"/>
      <w:r>
        <w:t>are expected</w:t>
      </w:r>
      <w:proofErr w:type="gramEnd"/>
      <w:r>
        <w:t xml:space="preserve"> to meet differentiated outcomes, with the graduate students having higher expectations. Oftentimes, the graduate students demonstrate their learning via differentiated or additional projects. Examples of how cross listed courses are differentiated between the undergraduate and graduate level to assure that student learning is at the appropriate level for degree are provided in the document </w:t>
      </w:r>
      <w:hyperlink r:id="rId25" w:tgtFrame="_blank" w:history="1">
        <w:r>
          <w:rPr>
            <w:rStyle w:val="Hyperlink"/>
          </w:rPr>
          <w:t>Differentiation in Cross-listed Courses</w:t>
        </w:r>
      </w:hyperlink>
      <w:r>
        <w:t>. A recent review of the university Catalogs (Undergraduate and Graduate) revealed a higher than expected number of cross-listed courses.  The Office of Academic Affairs and the Registrar's office have launched an investigation into these courses and plan to eliminate courses that do not appropriately differentiate instruction across the two levels. </w:t>
      </w:r>
    </w:p>
    <w:p w:rsidR="009D54A1" w:rsidRDefault="00C83BD0">
      <w:pPr>
        <w:pStyle w:val="NormalWeb"/>
        <w:divId w:val="590236881"/>
      </w:pPr>
      <w:r>
        <w:t> </w:t>
      </w:r>
      <w:proofErr w:type="gramStart"/>
      <w:r>
        <w:rPr>
          <w:rStyle w:val="Strong"/>
        </w:rPr>
        <w:t>3.A.3</w:t>
      </w:r>
      <w:proofErr w:type="gramEnd"/>
      <w:r>
        <w:rPr>
          <w:rStyle w:val="Strong"/>
        </w:rPr>
        <w:t> The institution’s program quality and learning goals are consistent across all modes of delivery and all locations (on the main campus, at additional locations, by distance delivery, as dual credit, through contractual or consortial arrangements, or any other modality).</w:t>
      </w:r>
    </w:p>
    <w:p w:rsidR="009D54A1" w:rsidRDefault="00C83BD0">
      <w:pPr>
        <w:pStyle w:val="NormalWeb"/>
        <w:divId w:val="590236881"/>
      </w:pPr>
      <w:r>
        <w:t xml:space="preserve">The Curricula Review Process, Program Review Process, and Assessment Process discussed in this Criteria and detailed in Criteria 4, assure that learning goals are consistent across all modes of delivery and at all locations including distance delivery and dual credit offerings.  </w:t>
      </w:r>
      <w:proofErr w:type="gramStart"/>
      <w:r>
        <w:t>All dual credit courses are approved by the academic departments</w:t>
      </w:r>
      <w:proofErr w:type="gramEnd"/>
      <w:r>
        <w:t xml:space="preserve">.  Syllabi are required to demonstrate that all outcomes for the equivalent university offered course </w:t>
      </w:r>
      <w:proofErr w:type="gramStart"/>
      <w:r>
        <w:t>are aligned</w:t>
      </w:r>
      <w:proofErr w:type="gramEnd"/>
      <w:r>
        <w:t xml:space="preserve">, that the expectations of the courses are the same, and that the evaluation of learning is at the same rigor as the university course for which students are awarded credit.  A PFW faculty member observes at least one class session per semester and assessment data is required for PFW departmental review each semester.  The Collegiate Connection Office collects all syllabi and evaluations and stores them locally.  These files </w:t>
      </w:r>
      <w:proofErr w:type="gramStart"/>
      <w:r>
        <w:t>will be made</w:t>
      </w:r>
      <w:proofErr w:type="gramEnd"/>
      <w:r>
        <w:t xml:space="preserve"> available for review on the site visit.</w:t>
      </w:r>
    </w:p>
    <w:p w:rsidR="009D54A1" w:rsidRDefault="00C83BD0">
      <w:pPr>
        <w:pStyle w:val="NormalWeb"/>
        <w:divId w:val="590236881"/>
      </w:pPr>
      <w:r>
        <w:t xml:space="preserve">On-line courses </w:t>
      </w:r>
      <w:proofErr w:type="gramStart"/>
      <w:r>
        <w:t>are designed and delivered by faculty in the academic department offering the course</w:t>
      </w:r>
      <w:proofErr w:type="gramEnd"/>
      <w:r>
        <w:t xml:space="preserve">.  The assessment of courses is included in the annual departmental report as are courses delivered in traditional fashion.  The assessment reports </w:t>
      </w:r>
      <w:proofErr w:type="gramStart"/>
      <w:r>
        <w:t>are reviewed</w:t>
      </w:r>
      <w:proofErr w:type="gramEnd"/>
      <w:r>
        <w:t xml:space="preserve"> by the College to produce a college level report.  All annual assessment reports are available online as discussed in Section 4.</w:t>
      </w:r>
    </w:p>
    <w:p w:rsidR="009D54A1" w:rsidRDefault="00C83BD0">
      <w:pPr>
        <w:pStyle w:val="NormalWeb"/>
        <w:divId w:val="590236881"/>
      </w:pPr>
      <w:r>
        <w:t xml:space="preserve">The only additional location is Sweetwater </w:t>
      </w:r>
      <w:proofErr w:type="gramStart"/>
      <w:r>
        <w:t>Music which</w:t>
      </w:r>
      <w:proofErr w:type="gramEnd"/>
      <w:r>
        <w:t xml:space="preserve"> offers courses that are part of the Music Industry curriculum.  Students in the program complete courses at both locations.  </w:t>
      </w:r>
      <w:proofErr w:type="gramStart"/>
      <w:r>
        <w:t>All courses are delivered by PFW faculty</w:t>
      </w:r>
      <w:proofErr w:type="gramEnd"/>
      <w:r>
        <w:t xml:space="preserve">.  The programs that offer courses on the Sweetwater Campus </w:t>
      </w:r>
      <w:proofErr w:type="gramStart"/>
      <w:r>
        <w:t>are managed</w:t>
      </w:r>
      <w:proofErr w:type="gramEnd"/>
      <w:r>
        <w:t xml:space="preserve"> by the School of Music and are integrated with courses delivered at the Fort Wayne Campus as a hybrid delivery across two campuses.  </w:t>
      </w:r>
    </w:p>
    <w:p w:rsidR="009D54A1" w:rsidRDefault="00C83BD0">
      <w:pPr>
        <w:pStyle w:val="NormalWeb"/>
        <w:divId w:val="590236881"/>
      </w:pPr>
      <w:r>
        <w:t>Presently Purdue Fort Wayne has articulation agreements but is not engaged in consortial or contractual arrangements for undergraduate or graduate education.</w:t>
      </w:r>
    </w:p>
    <w:p w:rsidR="009D54A1" w:rsidRDefault="00C83BD0">
      <w:pPr>
        <w:pStyle w:val="NormalWeb"/>
        <w:divId w:val="590236881"/>
      </w:pPr>
      <w:r>
        <w:t> </w:t>
      </w:r>
    </w:p>
    <w:p w:rsidR="009D54A1" w:rsidRDefault="00C83BD0">
      <w:pPr>
        <w:pStyle w:val="Heading3"/>
        <w:divId w:val="1530610358"/>
        <w:rPr>
          <w:rFonts w:eastAsia="Times New Roman"/>
        </w:rPr>
      </w:pPr>
      <w:r>
        <w:rPr>
          <w:rFonts w:eastAsia="Times New Roman"/>
        </w:rPr>
        <w:lastRenderedPageBreak/>
        <w:t>Sources</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2019 CPS Annual Report Combined 5-5-2020 (003)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2019 ETCS Annual Report V 1.0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Approval Matrix Undergraduate and Graduate Programs Revised December 2020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COAS 2019 Annual Report with Appendices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Course Processing Flowchart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Course proposal GR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Course proposal UG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Differentiation in </w:t>
      </w:r>
      <w:proofErr w:type="spellStart"/>
      <w:r>
        <w:rPr>
          <w:rFonts w:eastAsia="Times New Roman"/>
        </w:rPr>
        <w:t>Crosslisted</w:t>
      </w:r>
      <w:proofErr w:type="spellEnd"/>
      <w:r>
        <w:rPr>
          <w:rFonts w:eastAsia="Times New Roman"/>
        </w:rPr>
        <w:t xml:space="preserve"> Courses (002)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DSB Learning Outcomes Differentiation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Grad+Policy-4-21-16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OAA 03-1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OAA 15-4 Faculty and Librarian Recruitment </w:t>
      </w:r>
      <w:proofErr w:type="spellStart"/>
      <w:r>
        <w:rPr>
          <w:rFonts w:eastAsia="Times New Roman"/>
        </w:rPr>
        <w:t>Checksheet</w:t>
      </w:r>
      <w:proofErr w:type="spellEnd"/>
      <w:r>
        <w:rPr>
          <w:rFonts w:eastAsia="Times New Roman"/>
        </w:rPr>
        <w:t xml:space="preserve">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OAA 16-2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OAA 16-3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OAA 19-2 Consultation about Academic Program Proposals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OAA Memo 19-2 Supporting Document Pages 5-9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PFW Assessment Manual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PFW Assessment Workbook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PFW Request for New Major or Concentrarion-3-26-19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Program Review Process Examples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Program-Processing-Chart-Graduate-3-10-2020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Program-Processing-Chart-Undergraduate-3-10-2020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SD15-6r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Timeline-PFW-20-21-rev01.pdf </w:t>
      </w:r>
    </w:p>
    <w:p w:rsidR="009D54A1" w:rsidRDefault="00C83BD0">
      <w:pPr>
        <w:numPr>
          <w:ilvl w:val="0"/>
          <w:numId w:val="2"/>
        </w:numPr>
        <w:spacing w:before="100" w:beforeAutospacing="1" w:after="100" w:afterAutospacing="1"/>
        <w:divId w:val="1447428352"/>
        <w:rPr>
          <w:rFonts w:eastAsia="Times New Roman"/>
        </w:rPr>
      </w:pPr>
      <w:r>
        <w:rPr>
          <w:rFonts w:eastAsia="Times New Roman"/>
        </w:rPr>
        <w:t xml:space="preserve">VCAA_Request_to_Write_Pre_Approval_07_8_19_ </w:t>
      </w:r>
    </w:p>
    <w:p w:rsidR="009D54A1" w:rsidRDefault="009D54A1">
      <w:pPr>
        <w:divId w:val="1495219901"/>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9D54A1">
        <w:trPr>
          <w:divId w:val="32945648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9D54A1" w:rsidRDefault="00C83BD0">
            <w:pPr>
              <w:tabs>
                <w:tab w:val="right" w:pos="9360"/>
              </w:tabs>
              <w:divId w:val="1729301030"/>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- 3/14/2021</w:t>
            </w:r>
            <w:r>
              <w:rPr>
                <w:rFonts w:ascii="Arial" w:eastAsia="Times New Roman" w:hAnsi="Arial" w:cs="Arial"/>
                <w:color w:val="808080"/>
                <w:sz w:val="22"/>
                <w:szCs w:val="22"/>
              </w:rPr>
              <w:tab/>
            </w:r>
          </w:p>
          <w:p w:rsidR="009D54A1" w:rsidRDefault="00C83BD0">
            <w:pPr>
              <w:rPr>
                <w:rFonts w:eastAsia="Times New Roman"/>
              </w:rPr>
            </w:pPr>
            <w:r>
              <w:rPr>
                <w:rFonts w:eastAsia="Times New Roman"/>
              </w:rPr>
              <w:t>0</w:t>
            </w:r>
          </w:p>
        </w:tc>
      </w:tr>
    </w:tbl>
    <w:p w:rsidR="009D54A1" w:rsidRDefault="009D54A1">
      <w:pPr>
        <w:divId w:val="329456482"/>
        <w:rPr>
          <w:rFonts w:eastAsia="Times New Roman"/>
        </w:rPr>
      </w:pPr>
    </w:p>
    <w:sectPr w:rsidR="009D54A1">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4A1" w:rsidRDefault="00C83BD0">
      <w:r>
        <w:separator/>
      </w:r>
    </w:p>
  </w:endnote>
  <w:endnote w:type="continuationSeparator" w:id="0">
    <w:p w:rsidR="009D54A1" w:rsidRDefault="00C8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4A1" w:rsidRDefault="00C83BD0">
      <w:r>
        <w:separator/>
      </w:r>
    </w:p>
  </w:footnote>
  <w:footnote w:type="continuationSeparator" w:id="0">
    <w:p w:rsidR="009D54A1" w:rsidRDefault="00C8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A1" w:rsidRDefault="00C83BD0">
    <w:pPr>
      <w:tabs>
        <w:tab w:val="right" w:pos="9360"/>
      </w:tabs>
      <w:divId w:val="1729301030"/>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- 3/14/2021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4066A"/>
    <w:multiLevelType w:val="multilevel"/>
    <w:tmpl w:val="6D40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A77BDD"/>
    <w:multiLevelType w:val="multilevel"/>
    <w:tmpl w:val="4A1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D0"/>
    <w:rsid w:val="00342CCF"/>
    <w:rsid w:val="00583DB4"/>
    <w:rsid w:val="009D54A1"/>
    <w:rsid w:val="00A6624E"/>
    <w:rsid w:val="00BC3046"/>
    <w:rsid w:val="00C8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F9F93-CA13-4BB9-9D98-AEFE6364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6482">
      <w:marLeft w:val="0"/>
      <w:marRight w:val="0"/>
      <w:marTop w:val="0"/>
      <w:marBottom w:val="0"/>
      <w:divBdr>
        <w:top w:val="none" w:sz="0" w:space="0" w:color="auto"/>
        <w:left w:val="none" w:sz="0" w:space="0" w:color="auto"/>
        <w:bottom w:val="none" w:sz="0" w:space="0" w:color="auto"/>
        <w:right w:val="none" w:sz="0" w:space="0" w:color="auto"/>
      </w:divBdr>
      <w:divsChild>
        <w:div w:id="33623660">
          <w:marLeft w:val="0"/>
          <w:marRight w:val="0"/>
          <w:marTop w:val="0"/>
          <w:marBottom w:val="0"/>
          <w:divBdr>
            <w:top w:val="none" w:sz="0" w:space="0" w:color="auto"/>
            <w:left w:val="none" w:sz="0" w:space="0" w:color="auto"/>
            <w:bottom w:val="none" w:sz="0" w:space="0" w:color="auto"/>
            <w:right w:val="none" w:sz="0" w:space="0" w:color="auto"/>
          </w:divBdr>
          <w:divsChild>
            <w:div w:id="17293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9901">
      <w:marLeft w:val="0"/>
      <w:marRight w:val="0"/>
      <w:marTop w:val="0"/>
      <w:marBottom w:val="0"/>
      <w:divBdr>
        <w:top w:val="none" w:sz="0" w:space="0" w:color="auto"/>
        <w:left w:val="none" w:sz="0" w:space="0" w:color="auto"/>
        <w:bottom w:val="none" w:sz="0" w:space="0" w:color="auto"/>
        <w:right w:val="none" w:sz="0" w:space="0" w:color="auto"/>
      </w:divBdr>
    </w:div>
    <w:div w:id="1530610358">
      <w:marLeft w:val="0"/>
      <w:marRight w:val="0"/>
      <w:marTop w:val="0"/>
      <w:marBottom w:val="0"/>
      <w:divBdr>
        <w:top w:val="none" w:sz="0" w:space="0" w:color="auto"/>
        <w:left w:val="none" w:sz="0" w:space="0" w:color="auto"/>
        <w:bottom w:val="none" w:sz="0" w:space="0" w:color="auto"/>
        <w:right w:val="none" w:sz="0" w:space="0" w:color="auto"/>
      </w:divBdr>
      <w:divsChild>
        <w:div w:id="1326518985">
          <w:marLeft w:val="0"/>
          <w:marRight w:val="0"/>
          <w:marTop w:val="0"/>
          <w:marBottom w:val="0"/>
          <w:divBdr>
            <w:top w:val="none" w:sz="0" w:space="0" w:color="auto"/>
            <w:left w:val="none" w:sz="0" w:space="0" w:color="auto"/>
            <w:bottom w:val="none" w:sz="0" w:space="0" w:color="auto"/>
            <w:right w:val="none" w:sz="0" w:space="0" w:color="auto"/>
          </w:divBdr>
        </w:div>
        <w:div w:id="590236881">
          <w:marLeft w:val="0"/>
          <w:marRight w:val="0"/>
          <w:marTop w:val="0"/>
          <w:marBottom w:val="0"/>
          <w:divBdr>
            <w:top w:val="none" w:sz="0" w:space="0" w:color="auto"/>
            <w:left w:val="none" w:sz="0" w:space="0" w:color="auto"/>
            <w:bottom w:val="none" w:sz="0" w:space="0" w:color="auto"/>
            <w:right w:val="none" w:sz="0" w:space="0" w:color="auto"/>
          </w:divBdr>
        </w:div>
        <w:div w:id="144742835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3A/Course%20proposal%20UG-3-1-2021.pdf?language_id=1" TargetMode="External"/><Relationship Id="rId13" Type="http://schemas.openxmlformats.org/officeDocument/2006/relationships/hyperlink" Target="https://www.pfw.edu/offices/accreditation/2020-comprehensive-evauluation/2020-self-study/Core-Component-3A/OAA%20Memo%2019-2%20Supporting%20Document%20Pages%205-9.pdf?language_id=1" TargetMode="External"/><Relationship Id="rId18" Type="http://schemas.openxmlformats.org/officeDocument/2006/relationships/hyperlink" Target="https://www.pfw.edu/offices/accreditation/2020-comprehensive-evauluation/2020-self-study/Core-Component-3A/Program%20Review%20Process%20Examples-3-1-2021.pdf?language_id=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3A/Course%20proposal%20UG-3-1-2021.pdf?language_id=1" TargetMode="External"/><Relationship Id="rId7" Type="http://schemas.openxmlformats.org/officeDocument/2006/relationships/hyperlink" Target="https://www.pfw.edu/offices/accreditation/2020-comprehensive-evauluation/2020-self-study/Core-Component-3A/Course%20Processing%20October%202020.pdf?language_id=1" TargetMode="External"/><Relationship Id="rId12" Type="http://schemas.openxmlformats.org/officeDocument/2006/relationships/hyperlink" Target="https://www.pfw.edu/offices/accreditation/2020-comprehensive-evauluation/2020-self-study/Core-Component-3A/PFW%20Request%20for%20New%20Major%20or%20Concentrarion-3-26-19.pdf?language_id=168" TargetMode="External"/><Relationship Id="rId17" Type="http://schemas.openxmlformats.org/officeDocument/2006/relationships/hyperlink" Target="https://www.pfw.edu/offices/accreditation/2020-comprehensive-evauluation/2020-self-study/Core-Component-3A/Grad+Policy-4-21-16.pdf?language_id=1" TargetMode="External"/><Relationship Id="rId25" Type="http://schemas.openxmlformats.org/officeDocument/2006/relationships/hyperlink" Target="https://www.pfw.edu/offices/accreditation/2020-comprehensive-evauluation/2020-self-study/Core-Component-3A/Differentiation%20in%20Crosslisted%20Courses%20-002-9-22-2020.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3A/Program-Processing-Chart-Graduate-3-10-2020.pdf?language_id=1" TargetMode="External"/><Relationship Id="rId20" Type="http://schemas.openxmlformats.org/officeDocument/2006/relationships/hyperlink" Target="https://www.pfw.edu/offices/accreditation/2020-comprehensive-evauluation/2020-self-study/Core-Component-3A/PFW-Assessment-Workbook-7-24-18.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3A/Timeline-PFW-20-21-rev01.pdf?language_id=1" TargetMode="External"/><Relationship Id="rId24" Type="http://schemas.openxmlformats.org/officeDocument/2006/relationships/hyperlink" Target="https://www.pfw.edu/offices/accreditation/2020-comprehensive-evauluation/2020-self-study/Core-Component-3A/SD15-6r-9-22-20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3A/Program-Processing-Chart-Undergraduate-3-10-2020.pdf?language_id=1" TargetMode="External"/><Relationship Id="rId23" Type="http://schemas.openxmlformats.org/officeDocument/2006/relationships/hyperlink" Target="https://www.pfw.edu/offices/accreditation/2020-comprehensive-evauluation/2020-self-study/Core-Component-3A/DSB%20Learning%20Outcomes%20Differentiation.pdf?language_id=1" TargetMode="External"/><Relationship Id="rId28" Type="http://schemas.openxmlformats.org/officeDocument/2006/relationships/theme" Target="theme/theme1.xml"/><Relationship Id="rId10" Type="http://schemas.openxmlformats.org/officeDocument/2006/relationships/hyperlink" Target="https://www.pfw.edu/offices/accreditation/2020-comprehensive-evauluation/2020-self-study/Core-Component-3A/Approval%20Matrix-UG-and-Grad-12-2-2020.pdf?language_id=1" TargetMode="External"/><Relationship Id="rId19" Type="http://schemas.openxmlformats.org/officeDocument/2006/relationships/hyperlink" Target="https://www.pfw.edu/offices/accreditation/2020-comprehensive-evauluation/2020-self-study/Core-Component-3A/2016+Asmt+Manual-7-24-18.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3A/Course%20proposal%20GR-3-1-2021.pdf?language_id=1" TargetMode="External"/><Relationship Id="rId14" Type="http://schemas.openxmlformats.org/officeDocument/2006/relationships/hyperlink" Target="https://www.pfw.edu/offices/accreditation/2020-comprehensive-evauluation/2020-self-study/Core-Component-3A/PFW%20Request%20for%20New%20Major%20or%20Concentrarion-3-26-19.pdf?language_id=168" TargetMode="External"/><Relationship Id="rId22" Type="http://schemas.openxmlformats.org/officeDocument/2006/relationships/hyperlink" Target="https://www.pfw.edu/offices/accreditation/2020-comprehensive-evauluation/2020-self-study/Core-Component-3A/Course%20proposal%20GR-3-1-2021.pdf?language_id=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2647</Words>
  <Characters>19698</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5</cp:revision>
  <dcterms:created xsi:type="dcterms:W3CDTF">2021-03-14T17:15:00Z</dcterms:created>
  <dcterms:modified xsi:type="dcterms:W3CDTF">2021-03-15T01:39:00Z</dcterms:modified>
</cp:coreProperties>
</file>