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F6BB" w14:textId="47894456" w:rsidR="006440CC" w:rsidRDefault="006440CC"/>
    <w:p w14:paraId="780F7CFE" w14:textId="053B0FBE" w:rsidR="00C54923" w:rsidRDefault="00C54923"/>
    <w:p w14:paraId="45D79C0D" w14:textId="7B8A891E" w:rsidR="00C54923" w:rsidRDefault="00C54923"/>
    <w:p w14:paraId="160B3285" w14:textId="77777777" w:rsidR="00C54923" w:rsidRDefault="00C54923" w:rsidP="00C54923">
      <w:pPr>
        <w:jc w:val="center"/>
        <w:rPr>
          <w:rFonts w:ascii="Georgia" w:hAnsi="Georgia"/>
          <w:b/>
          <w:bCs/>
          <w:sz w:val="28"/>
          <w:szCs w:val="24"/>
        </w:rPr>
      </w:pPr>
      <w:r w:rsidRPr="00313F17">
        <w:rPr>
          <w:rFonts w:ascii="Georgia" w:hAnsi="Georgia"/>
          <w:b/>
          <w:bCs/>
          <w:sz w:val="28"/>
          <w:szCs w:val="24"/>
        </w:rPr>
        <w:t xml:space="preserve">Statement of Equivalency </w:t>
      </w:r>
      <w:r>
        <w:rPr>
          <w:rFonts w:ascii="Georgia" w:hAnsi="Georgia"/>
          <w:b/>
          <w:bCs/>
          <w:sz w:val="28"/>
          <w:szCs w:val="24"/>
        </w:rPr>
        <w:t>(Example)</w:t>
      </w:r>
      <w:r w:rsidRPr="00313F17">
        <w:rPr>
          <w:rFonts w:ascii="Georgia" w:hAnsi="Georgia"/>
          <w:b/>
          <w:bCs/>
          <w:sz w:val="28"/>
          <w:szCs w:val="24"/>
        </w:rPr>
        <w:t xml:space="preserve">  </w:t>
      </w:r>
    </w:p>
    <w:p w14:paraId="469DC5CC" w14:textId="77777777" w:rsidR="00C54923" w:rsidRDefault="00C54923" w:rsidP="00C54923">
      <w:pPr>
        <w:jc w:val="center"/>
        <w:rPr>
          <w:rFonts w:ascii="Georgia" w:hAnsi="Georgia"/>
          <w:b/>
          <w:bCs/>
          <w:sz w:val="28"/>
          <w:szCs w:val="24"/>
        </w:rPr>
      </w:pPr>
    </w:p>
    <w:p w14:paraId="2DBA06C4" w14:textId="49386922" w:rsidR="00C54923" w:rsidRPr="00440935" w:rsidRDefault="00C54923" w:rsidP="00C54923">
      <w:pPr>
        <w:jc w:val="center"/>
        <w:rPr>
          <w:rFonts w:ascii="Georgia" w:hAnsi="Georgia"/>
          <w:b/>
          <w:bCs/>
          <w:color w:val="C00000"/>
        </w:rPr>
      </w:pPr>
      <w:r w:rsidRPr="00440935">
        <w:rPr>
          <w:rFonts w:ascii="Georgia" w:hAnsi="Georgia"/>
          <w:b/>
          <w:bCs/>
          <w:color w:val="C00000"/>
        </w:rPr>
        <w:t xml:space="preserve">The statement should be written on </w:t>
      </w:r>
      <w:r>
        <w:rPr>
          <w:rFonts w:ascii="Georgia" w:hAnsi="Georgia"/>
          <w:b/>
          <w:bCs/>
          <w:color w:val="C00000"/>
        </w:rPr>
        <w:t xml:space="preserve">this </w:t>
      </w:r>
      <w:r w:rsidRPr="00440935">
        <w:rPr>
          <w:rFonts w:ascii="Georgia" w:hAnsi="Georgia"/>
          <w:b/>
          <w:bCs/>
          <w:color w:val="C00000"/>
        </w:rPr>
        <w:t>university letterhead and include:</w:t>
      </w:r>
    </w:p>
    <w:p w14:paraId="54A25702" w14:textId="77777777" w:rsidR="00C54923" w:rsidRPr="00313F17" w:rsidRDefault="00C54923" w:rsidP="00C54923">
      <w:pPr>
        <w:rPr>
          <w:b/>
          <w:bCs/>
        </w:rPr>
      </w:pPr>
    </w:p>
    <w:p w14:paraId="72F0BE57" w14:textId="77777777" w:rsidR="00C54923" w:rsidRPr="00A931D1" w:rsidRDefault="00C54923" w:rsidP="00C54923">
      <w:pPr>
        <w:pStyle w:val="ListParagraph"/>
        <w:numPr>
          <w:ilvl w:val="0"/>
          <w:numId w:val="1"/>
        </w:numPr>
        <w:rPr>
          <w:b/>
          <w:bCs/>
        </w:rPr>
      </w:pPr>
      <w:r w:rsidRPr="00A931D1">
        <w:rPr>
          <w:b/>
          <w:bCs/>
        </w:rPr>
        <w:t>Introduction</w:t>
      </w:r>
    </w:p>
    <w:p w14:paraId="18C30EE9" w14:textId="77777777" w:rsidR="00C54923" w:rsidRPr="0005452D" w:rsidRDefault="00C54923" w:rsidP="00C54923">
      <w:pPr>
        <w:ind w:firstLine="360"/>
        <w:rPr>
          <w:i/>
          <w:iCs/>
          <w:color w:val="0070C0"/>
        </w:rPr>
      </w:pPr>
      <w:r w:rsidRPr="0005452D">
        <w:rPr>
          <w:i/>
          <w:iCs/>
          <w:color w:val="0070C0"/>
        </w:rPr>
        <w:t>An introductory paragraph that identifies the statement’s author, the discipline they represent, role at the university, length with the program, and role in concurrent enrollment program (</w:t>
      </w:r>
      <w:proofErr w:type="gramStart"/>
      <w:r w:rsidRPr="0005452D">
        <w:rPr>
          <w:i/>
          <w:iCs/>
          <w:color w:val="0070C0"/>
        </w:rPr>
        <w:t>i.e.</w:t>
      </w:r>
      <w:proofErr w:type="gramEnd"/>
      <w:r w:rsidRPr="0005452D">
        <w:rPr>
          <w:i/>
          <w:iCs/>
          <w:color w:val="0070C0"/>
        </w:rPr>
        <w:t xml:space="preserve"> faculty liaison, department chair, etc.)</w:t>
      </w:r>
    </w:p>
    <w:p w14:paraId="0E1FCB80" w14:textId="77777777" w:rsidR="00C54923" w:rsidRDefault="00C54923" w:rsidP="00C54923"/>
    <w:p w14:paraId="74CEB295" w14:textId="77777777" w:rsidR="00C54923" w:rsidRDefault="00C54923" w:rsidP="00C54923">
      <w:pPr>
        <w:ind w:firstLine="360"/>
      </w:pPr>
      <w:r w:rsidRPr="00407843">
        <w:t xml:space="preserve">My name is </w:t>
      </w:r>
      <w:proofErr w:type="spellStart"/>
      <w:r w:rsidRPr="00407843">
        <w:t>Inigio</w:t>
      </w:r>
      <w:proofErr w:type="spellEnd"/>
      <w:r w:rsidRPr="00407843">
        <w:t xml:space="preserve"> Montoya and I am the current faculty liaison for the Glittering Caves. I have been a professor and the department chair of mining, dwarven smithing and crafting, and ore enrichment for over 15 years; and I have been serving as the faculty liaison for Collegiate Connection for my department for around 5 years.</w:t>
      </w:r>
    </w:p>
    <w:p w14:paraId="5012B78B" w14:textId="77777777" w:rsidR="00C54923" w:rsidRDefault="00C54923" w:rsidP="00C54923">
      <w:r>
        <w:t xml:space="preserve">  </w:t>
      </w:r>
    </w:p>
    <w:p w14:paraId="79183000" w14:textId="77777777" w:rsidR="00C54923" w:rsidRPr="00140226" w:rsidRDefault="00C54923" w:rsidP="00C54923">
      <w:pPr>
        <w:pStyle w:val="ListParagraph"/>
        <w:numPr>
          <w:ilvl w:val="0"/>
          <w:numId w:val="2"/>
        </w:numPr>
        <w:rPr>
          <w:b/>
          <w:bCs/>
        </w:rPr>
      </w:pPr>
      <w:r w:rsidRPr="00140226">
        <w:rPr>
          <w:b/>
          <w:bCs/>
        </w:rPr>
        <w:t>Academic Freedom</w:t>
      </w:r>
    </w:p>
    <w:p w14:paraId="2FF66E68" w14:textId="77777777" w:rsidR="00C54923" w:rsidRDefault="00C54923" w:rsidP="00C54923">
      <w:pPr>
        <w:rPr>
          <w:i/>
          <w:iCs/>
          <w:color w:val="0070C0"/>
        </w:rPr>
      </w:pPr>
      <w:r>
        <w:rPr>
          <w:b/>
          <w:bCs/>
          <w:i/>
          <w:iCs/>
          <w:color w:val="C00000"/>
        </w:rPr>
        <w:t xml:space="preserve">      </w:t>
      </w:r>
      <w:r w:rsidRPr="00232947">
        <w:rPr>
          <w:b/>
          <w:bCs/>
          <w:i/>
          <w:iCs/>
          <w:color w:val="0070C0"/>
        </w:rPr>
        <w:t>Guiding Questions:</w:t>
      </w:r>
      <w:r w:rsidRPr="00232947">
        <w:rPr>
          <w:i/>
          <w:iCs/>
          <w:color w:val="0070C0"/>
        </w:rPr>
        <w:t xml:space="preserve"> </w:t>
      </w:r>
    </w:p>
    <w:p w14:paraId="1BF64FBE" w14:textId="77777777" w:rsidR="00C54923" w:rsidRDefault="00C54923" w:rsidP="00C54923">
      <w:pPr>
        <w:pStyle w:val="ListParagraph"/>
        <w:numPr>
          <w:ilvl w:val="0"/>
          <w:numId w:val="3"/>
        </w:numPr>
        <w:rPr>
          <w:i/>
          <w:iCs/>
          <w:color w:val="0070C0"/>
        </w:rPr>
      </w:pPr>
      <w:r w:rsidRPr="00852B76">
        <w:rPr>
          <w:i/>
          <w:iCs/>
          <w:color w:val="0070C0"/>
        </w:rPr>
        <w:t xml:space="preserve">How does the college or department define academic freedom? </w:t>
      </w:r>
    </w:p>
    <w:p w14:paraId="535DFC32" w14:textId="77777777" w:rsidR="00C54923" w:rsidRDefault="00C54923" w:rsidP="00C54923">
      <w:pPr>
        <w:pStyle w:val="ListParagraph"/>
        <w:numPr>
          <w:ilvl w:val="0"/>
          <w:numId w:val="3"/>
        </w:numPr>
        <w:rPr>
          <w:i/>
          <w:iCs/>
          <w:color w:val="0070C0"/>
        </w:rPr>
      </w:pPr>
      <w:r w:rsidRPr="00852B76">
        <w:rPr>
          <w:i/>
          <w:iCs/>
          <w:color w:val="0070C0"/>
        </w:rPr>
        <w:t xml:space="preserve">What level of variation might occur across campus sections of the same course? </w:t>
      </w:r>
    </w:p>
    <w:p w14:paraId="57A0F1A4" w14:textId="77777777" w:rsidR="00C54923" w:rsidRDefault="00C54923" w:rsidP="00C54923">
      <w:pPr>
        <w:pStyle w:val="ListParagraph"/>
        <w:numPr>
          <w:ilvl w:val="0"/>
          <w:numId w:val="3"/>
        </w:numPr>
        <w:rPr>
          <w:i/>
          <w:iCs/>
          <w:color w:val="0070C0"/>
        </w:rPr>
      </w:pPr>
      <w:r w:rsidRPr="00852B76">
        <w:rPr>
          <w:i/>
          <w:iCs/>
          <w:color w:val="0070C0"/>
        </w:rPr>
        <w:t xml:space="preserve">To what extent is academic freedom permitted in the CE course? </w:t>
      </w:r>
    </w:p>
    <w:p w14:paraId="5462F47F" w14:textId="77777777" w:rsidR="00C54923" w:rsidRPr="00852B76" w:rsidRDefault="00C54923" w:rsidP="00C54923">
      <w:pPr>
        <w:pStyle w:val="ListParagraph"/>
        <w:numPr>
          <w:ilvl w:val="0"/>
          <w:numId w:val="3"/>
        </w:numPr>
        <w:rPr>
          <w:i/>
          <w:iCs/>
          <w:color w:val="0070C0"/>
        </w:rPr>
      </w:pPr>
      <w:r w:rsidRPr="00852B76">
        <w:rPr>
          <w:i/>
          <w:iCs/>
          <w:color w:val="0070C0"/>
        </w:rPr>
        <w:t>How does it compare to that allowed on campus?</w:t>
      </w:r>
    </w:p>
    <w:p w14:paraId="734A96C2" w14:textId="77777777" w:rsidR="00C54923" w:rsidRDefault="00C54923" w:rsidP="00C54923">
      <w:pPr>
        <w:ind w:left="720"/>
      </w:pPr>
    </w:p>
    <w:p w14:paraId="572716A5" w14:textId="14261EC3" w:rsidR="00C54923" w:rsidRDefault="00C54923" w:rsidP="00C54923">
      <w:pPr>
        <w:ind w:firstLine="720"/>
      </w:pPr>
      <w:r>
        <w:t>For our department and university academic freedom has different layers. At the university level “</w:t>
      </w:r>
      <w:r w:rsidRPr="009E4075">
        <w:t>Faculty, lecturers, instructors, researchers and students have full</w:t>
      </w:r>
      <w:r>
        <w:t xml:space="preserve"> </w:t>
      </w:r>
      <w:r w:rsidRPr="009E4075">
        <w:t>freedom as researchers, scholars and artists, and are assured freedom to communicate</w:t>
      </w:r>
      <w:r>
        <w:t xml:space="preserve"> </w:t>
      </w:r>
      <w:r w:rsidRPr="009E4075">
        <w:t>their work, to advocate solutions to human problems and to criticize existing</w:t>
      </w:r>
      <w:r>
        <w:t xml:space="preserve"> </w:t>
      </w:r>
      <w:r w:rsidRPr="009E4075">
        <w:t>institutions</w:t>
      </w:r>
      <w:r>
        <w:t>” and “</w:t>
      </w:r>
      <w:r w:rsidRPr="009E4075">
        <w:t>Faculty, lecturers and instructors have freedom in the classroom in discussing their subject matter. They also have the responsibility to avoid infringing upon their students' right to learn by introducing irrelevant subject matter</w:t>
      </w:r>
      <w:r>
        <w:t xml:space="preserve">” as stated by the university policy office. It is also defined at the course level as the ability of instructors to vary their choice of textbooks, individual lessons, experiments, engagement or enrichment opportunities and supplemental materials and resources within the course. Instructors are of course still bound by the syllabi for each of their courses regarding student learning objectives. Both at the university level and course specific level all of our off-campus instructors, including concurrent enrollment instructors, share in the same levels of academic freedom as do our on-campus faculty. For example, an instructor covering the differences in mining techniques between gold and silver can do so however they see fit that best meets the needs of students so long as they cover the objectives laid out in the syllabus and assess those learning objectives. </w:t>
      </w:r>
    </w:p>
    <w:p w14:paraId="1576D76A" w14:textId="77777777" w:rsidR="00C54923" w:rsidRDefault="00C54923" w:rsidP="00C54923">
      <w:pPr>
        <w:ind w:firstLine="720"/>
      </w:pPr>
    </w:p>
    <w:p w14:paraId="119C8C3D" w14:textId="77777777" w:rsidR="00C54923" w:rsidRPr="00140226" w:rsidRDefault="00C54923" w:rsidP="00C54923">
      <w:pPr>
        <w:pStyle w:val="ListParagraph"/>
        <w:numPr>
          <w:ilvl w:val="0"/>
          <w:numId w:val="2"/>
        </w:numPr>
        <w:rPr>
          <w:b/>
          <w:bCs/>
        </w:rPr>
      </w:pPr>
      <w:r w:rsidRPr="00140226">
        <w:rPr>
          <w:b/>
          <w:bCs/>
        </w:rPr>
        <w:t xml:space="preserve"> Student Learning Objectives</w:t>
      </w:r>
    </w:p>
    <w:p w14:paraId="3DBCC0E6" w14:textId="77777777" w:rsidR="00C54923" w:rsidRDefault="00C54923" w:rsidP="00C54923">
      <w:pPr>
        <w:rPr>
          <w:i/>
          <w:iCs/>
          <w:color w:val="0070C0"/>
        </w:rPr>
      </w:pPr>
      <w:r>
        <w:rPr>
          <w:b/>
          <w:bCs/>
          <w:i/>
          <w:iCs/>
          <w:color w:val="C00000"/>
        </w:rPr>
        <w:lastRenderedPageBreak/>
        <w:t xml:space="preserve">      </w:t>
      </w:r>
      <w:r w:rsidRPr="00232947">
        <w:rPr>
          <w:b/>
          <w:bCs/>
          <w:i/>
          <w:iCs/>
          <w:color w:val="0070C0"/>
        </w:rPr>
        <w:t>Guiding Questions:</w:t>
      </w:r>
      <w:r w:rsidRPr="00232947">
        <w:rPr>
          <w:i/>
          <w:iCs/>
          <w:color w:val="0070C0"/>
        </w:rPr>
        <w:t xml:space="preserve"> </w:t>
      </w:r>
    </w:p>
    <w:p w14:paraId="0D410F00" w14:textId="77777777" w:rsidR="00C54923" w:rsidRDefault="00C54923" w:rsidP="00C54923">
      <w:pPr>
        <w:pStyle w:val="ListParagraph"/>
        <w:numPr>
          <w:ilvl w:val="0"/>
          <w:numId w:val="4"/>
        </w:numPr>
        <w:rPr>
          <w:i/>
          <w:iCs/>
          <w:color w:val="0070C0"/>
        </w:rPr>
      </w:pPr>
      <w:r w:rsidRPr="00852B76">
        <w:rPr>
          <w:i/>
          <w:iCs/>
          <w:color w:val="0070C0"/>
        </w:rPr>
        <w:t xml:space="preserve">How are the learning outcomes for your courses developed within your department? </w:t>
      </w:r>
    </w:p>
    <w:p w14:paraId="13E92581" w14:textId="77777777" w:rsidR="00C54923" w:rsidRDefault="00C54923" w:rsidP="00C54923">
      <w:pPr>
        <w:pStyle w:val="ListParagraph"/>
        <w:numPr>
          <w:ilvl w:val="0"/>
          <w:numId w:val="4"/>
        </w:numPr>
        <w:rPr>
          <w:i/>
          <w:iCs/>
          <w:color w:val="0070C0"/>
        </w:rPr>
      </w:pPr>
      <w:r w:rsidRPr="00852B76">
        <w:rPr>
          <w:i/>
          <w:iCs/>
          <w:color w:val="0070C0"/>
        </w:rPr>
        <w:t xml:space="preserve">If learning outcomes are not the same across sections of a course, describe the department’s approach and extent of variation in campus and concurrent enrollment program learning outcomes. </w:t>
      </w:r>
    </w:p>
    <w:p w14:paraId="725089AC" w14:textId="77777777" w:rsidR="00C54923" w:rsidRDefault="00C54923" w:rsidP="00C54923">
      <w:pPr>
        <w:pStyle w:val="ListParagraph"/>
        <w:numPr>
          <w:ilvl w:val="0"/>
          <w:numId w:val="4"/>
        </w:numPr>
        <w:rPr>
          <w:i/>
          <w:iCs/>
          <w:color w:val="0070C0"/>
        </w:rPr>
      </w:pPr>
      <w:r w:rsidRPr="00852B76">
        <w:rPr>
          <w:i/>
          <w:iCs/>
          <w:color w:val="0070C0"/>
        </w:rPr>
        <w:t>How do you assure that concurrent enrollment program instructors are teaching to the student learning outcomes (</w:t>
      </w:r>
      <w:proofErr w:type="gramStart"/>
      <w:r w:rsidRPr="00852B76">
        <w:rPr>
          <w:i/>
          <w:iCs/>
          <w:color w:val="0070C0"/>
        </w:rPr>
        <w:t>i.e.</w:t>
      </w:r>
      <w:proofErr w:type="gramEnd"/>
      <w:r w:rsidRPr="00852B76">
        <w:rPr>
          <w:i/>
          <w:iCs/>
          <w:color w:val="0070C0"/>
        </w:rPr>
        <w:t xml:space="preserve"> orientation, professional development, site visits, etc.)?</w:t>
      </w:r>
    </w:p>
    <w:p w14:paraId="16BE7416" w14:textId="77777777" w:rsidR="00C54923" w:rsidRDefault="00C54923" w:rsidP="00C54923">
      <w:pPr>
        <w:pStyle w:val="ListParagraph"/>
        <w:numPr>
          <w:ilvl w:val="0"/>
          <w:numId w:val="4"/>
        </w:numPr>
        <w:rPr>
          <w:i/>
          <w:iCs/>
          <w:color w:val="0070C0"/>
        </w:rPr>
      </w:pPr>
      <w:r w:rsidRPr="00852B76">
        <w:rPr>
          <w:i/>
          <w:iCs/>
          <w:color w:val="0070C0"/>
        </w:rPr>
        <w:t xml:space="preserve"> If relevant, describe an experience when a concurrent enrollment program instructor was not adhering to the expectations for the course. </w:t>
      </w:r>
    </w:p>
    <w:p w14:paraId="23783959" w14:textId="77777777" w:rsidR="00C54923" w:rsidRPr="00852B76" w:rsidRDefault="00C54923" w:rsidP="00C54923">
      <w:pPr>
        <w:pStyle w:val="ListParagraph"/>
        <w:numPr>
          <w:ilvl w:val="0"/>
          <w:numId w:val="4"/>
        </w:numPr>
        <w:rPr>
          <w:i/>
          <w:iCs/>
          <w:color w:val="0070C0"/>
        </w:rPr>
      </w:pPr>
      <w:r w:rsidRPr="00852B76">
        <w:rPr>
          <w:i/>
          <w:iCs/>
          <w:color w:val="0070C0"/>
        </w:rPr>
        <w:t>How are department revisions to student learning outcomes communicated to concurrent enrollment program instructors?</w:t>
      </w:r>
    </w:p>
    <w:p w14:paraId="563CDE80" w14:textId="77777777" w:rsidR="00C54923" w:rsidRDefault="00C54923" w:rsidP="00C54923">
      <w:pPr>
        <w:rPr>
          <w:i/>
          <w:iCs/>
        </w:rPr>
      </w:pPr>
    </w:p>
    <w:p w14:paraId="7830C62A" w14:textId="77777777" w:rsidR="00C54923" w:rsidRDefault="00C54923" w:rsidP="00C54923">
      <w:pPr>
        <w:ind w:firstLine="720"/>
      </w:pPr>
      <w:r>
        <w:t xml:space="preserve">Student learning objectives are developed and set by the university faculty that teach the course, usually under the guidance of the department chair. Once the learning objectives have been established by faculty there are no variations amongst the different sections of the same course. We work to make sure that learning objectives are uniform across all courses through our annual PDs, updating instructors if changes are made through mandatory meetings and email, and syllabi review for our concurrent enrollment courses. If student learning objectives are modified in any way, a series of meeting invites go out that are mandatory for all instructors to participate in. These meetings are held both in person and virtually and at several dates and times. We want to make sure we maximize coverage for everyone in the department and to make sure that we answer any and all potential questions. For example, when we updated the student learning objectives for MI 15000 Mastering the </w:t>
      </w:r>
      <w:proofErr w:type="gramStart"/>
      <w:r>
        <w:t>Forge</w:t>
      </w:r>
      <w:proofErr w:type="gramEnd"/>
      <w:r>
        <w:t xml:space="preserve"> we held 7 different meetings to make sure we met with everyone, even 1 on 1 in the case for Lord Gimli. Once everyone has been met with, an email goes out to everyone with the updated student learning objectives and with all of the questions asked in our meetings along with their answers.  </w:t>
      </w:r>
    </w:p>
    <w:p w14:paraId="022F2828" w14:textId="77777777" w:rsidR="00C54923" w:rsidRPr="00140226" w:rsidRDefault="00C54923" w:rsidP="00C54923">
      <w:pPr>
        <w:ind w:firstLine="720"/>
      </w:pPr>
    </w:p>
    <w:p w14:paraId="66243369" w14:textId="77777777" w:rsidR="00C54923" w:rsidRPr="00313F17" w:rsidRDefault="00C54923" w:rsidP="00C54923">
      <w:pPr>
        <w:pStyle w:val="ListParagraph"/>
        <w:numPr>
          <w:ilvl w:val="0"/>
          <w:numId w:val="2"/>
        </w:numPr>
        <w:rPr>
          <w:b/>
          <w:bCs/>
        </w:rPr>
      </w:pPr>
      <w:r w:rsidRPr="00313F17">
        <w:rPr>
          <w:b/>
          <w:bCs/>
        </w:rPr>
        <w:t>Syllabus Review</w:t>
      </w:r>
    </w:p>
    <w:p w14:paraId="15D53BC9" w14:textId="77777777" w:rsidR="00C54923" w:rsidRPr="00852B76" w:rsidRDefault="00C54923" w:rsidP="00C54923">
      <w:pPr>
        <w:rPr>
          <w:i/>
          <w:iCs/>
          <w:color w:val="0070C0"/>
        </w:rPr>
      </w:pPr>
      <w:r w:rsidRPr="00232947">
        <w:rPr>
          <w:b/>
          <w:bCs/>
          <w:i/>
          <w:iCs/>
          <w:color w:val="0070C0"/>
        </w:rPr>
        <w:t xml:space="preserve">     Guiding Questions:</w:t>
      </w:r>
      <w:r w:rsidRPr="00232947">
        <w:rPr>
          <w:i/>
          <w:iCs/>
          <w:color w:val="0070C0"/>
        </w:rPr>
        <w:t xml:space="preserve"> </w:t>
      </w:r>
    </w:p>
    <w:p w14:paraId="30634312" w14:textId="77777777" w:rsidR="00C54923" w:rsidRDefault="00C54923" w:rsidP="00C54923">
      <w:pPr>
        <w:pStyle w:val="ListParagraph"/>
        <w:numPr>
          <w:ilvl w:val="0"/>
          <w:numId w:val="5"/>
        </w:numPr>
        <w:rPr>
          <w:i/>
          <w:iCs/>
          <w:color w:val="0070C0"/>
        </w:rPr>
      </w:pPr>
      <w:r w:rsidRPr="00852B76">
        <w:rPr>
          <w:i/>
          <w:iCs/>
          <w:color w:val="0070C0"/>
        </w:rPr>
        <w:t xml:space="preserve">When are new syllabi initially reviewed and approved? </w:t>
      </w:r>
    </w:p>
    <w:p w14:paraId="6B10D417" w14:textId="77777777" w:rsidR="00C54923" w:rsidRDefault="00C54923" w:rsidP="00C54923">
      <w:pPr>
        <w:pStyle w:val="ListParagraph"/>
        <w:numPr>
          <w:ilvl w:val="0"/>
          <w:numId w:val="5"/>
        </w:numPr>
        <w:rPr>
          <w:i/>
          <w:iCs/>
          <w:color w:val="0070C0"/>
        </w:rPr>
      </w:pPr>
      <w:r w:rsidRPr="00852B76">
        <w:rPr>
          <w:i/>
          <w:iCs/>
          <w:color w:val="0070C0"/>
        </w:rPr>
        <w:t xml:space="preserve">Who conducts this review? </w:t>
      </w:r>
    </w:p>
    <w:p w14:paraId="7FA56C4A" w14:textId="77777777" w:rsidR="00C54923" w:rsidRDefault="00C54923" w:rsidP="00C54923">
      <w:pPr>
        <w:pStyle w:val="ListParagraph"/>
        <w:numPr>
          <w:ilvl w:val="0"/>
          <w:numId w:val="5"/>
        </w:numPr>
        <w:rPr>
          <w:i/>
          <w:iCs/>
          <w:color w:val="0070C0"/>
        </w:rPr>
      </w:pPr>
      <w:r w:rsidRPr="00852B76">
        <w:rPr>
          <w:i/>
          <w:iCs/>
          <w:color w:val="0070C0"/>
        </w:rPr>
        <w:t xml:space="preserve">Detail the approach to evaluating a new syllabus, including the minimum components or areas of most importance. If not described above, address how consistent learning outcomes are assured. </w:t>
      </w:r>
    </w:p>
    <w:p w14:paraId="08384F7E" w14:textId="77777777" w:rsidR="00C54923" w:rsidRDefault="00C54923" w:rsidP="00C54923">
      <w:pPr>
        <w:pStyle w:val="ListParagraph"/>
        <w:numPr>
          <w:ilvl w:val="0"/>
          <w:numId w:val="5"/>
        </w:numPr>
        <w:rPr>
          <w:i/>
          <w:iCs/>
          <w:color w:val="0070C0"/>
        </w:rPr>
      </w:pPr>
      <w:r w:rsidRPr="00852B76">
        <w:rPr>
          <w:i/>
          <w:iCs/>
          <w:color w:val="0070C0"/>
        </w:rPr>
        <w:t xml:space="preserve">How are any required changes to a new syllabus communicated? </w:t>
      </w:r>
    </w:p>
    <w:p w14:paraId="734E4AF2" w14:textId="77777777" w:rsidR="00C54923" w:rsidRDefault="00C54923" w:rsidP="00C54923">
      <w:pPr>
        <w:pStyle w:val="ListParagraph"/>
        <w:numPr>
          <w:ilvl w:val="0"/>
          <w:numId w:val="5"/>
        </w:numPr>
        <w:rPr>
          <w:i/>
          <w:iCs/>
          <w:color w:val="0070C0"/>
        </w:rPr>
      </w:pPr>
      <w:r w:rsidRPr="00852B76">
        <w:rPr>
          <w:i/>
          <w:iCs/>
          <w:color w:val="0070C0"/>
        </w:rPr>
        <w:t xml:space="preserve">Beyond the initial review, explain how the department ensures concurrent enrollment program syllabi are up to date. </w:t>
      </w:r>
    </w:p>
    <w:p w14:paraId="53496B56" w14:textId="03A765A1" w:rsidR="00C54923" w:rsidRPr="00C54923" w:rsidRDefault="00C54923" w:rsidP="00C54923">
      <w:pPr>
        <w:pStyle w:val="ListParagraph"/>
        <w:numPr>
          <w:ilvl w:val="0"/>
          <w:numId w:val="5"/>
        </w:numPr>
        <w:rPr>
          <w:i/>
          <w:iCs/>
          <w:color w:val="0070C0"/>
        </w:rPr>
      </w:pPr>
      <w:r w:rsidRPr="00852B76">
        <w:rPr>
          <w:i/>
          <w:iCs/>
          <w:color w:val="0070C0"/>
        </w:rPr>
        <w:t>Discuss any important differences between the execution of the course on campus and in the concurrent enrollment program, addressing how the syllabus upholds the integrity of the college course.</w:t>
      </w:r>
    </w:p>
    <w:p w14:paraId="42A7ABE4" w14:textId="77777777" w:rsidR="00C54923" w:rsidRDefault="00C54923" w:rsidP="00C54923">
      <w:pPr>
        <w:ind w:firstLine="720"/>
      </w:pPr>
      <w:r>
        <w:lastRenderedPageBreak/>
        <w:t xml:space="preserve">New syllabi are reviewed by the faculty liaison during the course on-boarding or shortly thereafter, but before the new course starts. Faculty </w:t>
      </w:r>
      <w:proofErr w:type="gramStart"/>
      <w:r>
        <w:t>liaison’s</w:t>
      </w:r>
      <w:proofErr w:type="gramEnd"/>
      <w:r>
        <w:t xml:space="preserve"> will look to make sure that the proper identification information, course title, course code, instructor name, etc. are in place as well as the student learning objectives and other required pieces. Any new requirements to syllabi are communicated by both the faculty liaisons and the Collegiate Connection office, we notify the Collegiate Connection office of any changes so that they can also help communicate and to be generally aware.  Instructors are required to submit updated syllabi each academic year in their Box folder for departmental review, instructors only have access to their own materials but the department faculty liaison and chairs have access to all department instructors for review. While pedagogical flexibility is allowed, the syllabus must maintain the academic rigor and integrity of the college course.  </w:t>
      </w:r>
    </w:p>
    <w:p w14:paraId="357A2804" w14:textId="77777777" w:rsidR="00C54923" w:rsidRPr="00A931D1" w:rsidRDefault="00C54923" w:rsidP="00C54923"/>
    <w:p w14:paraId="2A5DE14B" w14:textId="77777777" w:rsidR="00C54923" w:rsidRPr="00186730" w:rsidRDefault="00C54923" w:rsidP="00C54923">
      <w:pPr>
        <w:pStyle w:val="ListParagraph"/>
        <w:numPr>
          <w:ilvl w:val="0"/>
          <w:numId w:val="2"/>
        </w:numPr>
        <w:rPr>
          <w:b/>
          <w:bCs/>
        </w:rPr>
      </w:pPr>
      <w:r w:rsidRPr="00186730">
        <w:rPr>
          <w:b/>
          <w:bCs/>
        </w:rPr>
        <w:t xml:space="preserve"> Assessment Review</w:t>
      </w:r>
    </w:p>
    <w:p w14:paraId="6E98CACB" w14:textId="77777777" w:rsidR="00C54923" w:rsidRDefault="00C54923" w:rsidP="00C54923">
      <w:pPr>
        <w:rPr>
          <w:i/>
          <w:iCs/>
          <w:color w:val="0070C0"/>
        </w:rPr>
      </w:pPr>
      <w:r>
        <w:rPr>
          <w:b/>
          <w:bCs/>
          <w:i/>
          <w:iCs/>
          <w:color w:val="C00000"/>
        </w:rPr>
        <w:t xml:space="preserve">     </w:t>
      </w:r>
      <w:r w:rsidRPr="00232947">
        <w:rPr>
          <w:b/>
          <w:bCs/>
          <w:i/>
          <w:iCs/>
          <w:color w:val="0070C0"/>
        </w:rPr>
        <w:t>Guiding Questions:</w:t>
      </w:r>
      <w:r w:rsidRPr="00232947">
        <w:rPr>
          <w:i/>
          <w:iCs/>
          <w:color w:val="0070C0"/>
        </w:rPr>
        <w:t xml:space="preserve"> </w:t>
      </w:r>
    </w:p>
    <w:p w14:paraId="76A8B1B3" w14:textId="77777777" w:rsidR="00C54923" w:rsidRDefault="00C54923" w:rsidP="00C54923">
      <w:pPr>
        <w:pStyle w:val="ListParagraph"/>
        <w:numPr>
          <w:ilvl w:val="0"/>
          <w:numId w:val="6"/>
        </w:numPr>
        <w:rPr>
          <w:i/>
          <w:iCs/>
          <w:color w:val="0070C0"/>
        </w:rPr>
      </w:pPr>
      <w:r w:rsidRPr="00852B76">
        <w:rPr>
          <w:i/>
          <w:iCs/>
          <w:color w:val="0070C0"/>
        </w:rPr>
        <w:t xml:space="preserve">Describe how your department assures that concurrent enrollment program assessments are comparable in rigor to those on campus (i.e., share samples from campus, review concurrent enrollment program assessments, professional development, etc.). </w:t>
      </w:r>
    </w:p>
    <w:p w14:paraId="40B605DB" w14:textId="77777777" w:rsidR="00C54923" w:rsidRDefault="00C54923" w:rsidP="00C54923">
      <w:pPr>
        <w:pStyle w:val="ListParagraph"/>
        <w:numPr>
          <w:ilvl w:val="0"/>
          <w:numId w:val="6"/>
        </w:numPr>
        <w:rPr>
          <w:i/>
          <w:iCs/>
          <w:color w:val="0070C0"/>
        </w:rPr>
      </w:pPr>
      <w:r w:rsidRPr="00852B76">
        <w:rPr>
          <w:i/>
          <w:iCs/>
          <w:color w:val="0070C0"/>
        </w:rPr>
        <w:t xml:space="preserve">Describe how your department assures that grading standards are comparable between the concurrent enrollment program and campus course (i.e., review of syllabi and graded work, rubrics, grade norming, assessment data collection, etc.). </w:t>
      </w:r>
    </w:p>
    <w:p w14:paraId="220B76B5" w14:textId="77777777" w:rsidR="00C54923" w:rsidRPr="00852B76" w:rsidRDefault="00C54923" w:rsidP="00C54923">
      <w:pPr>
        <w:pStyle w:val="ListParagraph"/>
        <w:numPr>
          <w:ilvl w:val="0"/>
          <w:numId w:val="6"/>
        </w:numPr>
        <w:rPr>
          <w:i/>
          <w:iCs/>
          <w:color w:val="0070C0"/>
        </w:rPr>
      </w:pPr>
      <w:r w:rsidRPr="00852B76">
        <w:rPr>
          <w:i/>
          <w:iCs/>
          <w:color w:val="0070C0"/>
        </w:rPr>
        <w:t>This goes beyond grading scales, including how assignments are graded and how final grades are calculated.</w:t>
      </w:r>
    </w:p>
    <w:p w14:paraId="2CD5B08F" w14:textId="77777777" w:rsidR="00C54923" w:rsidRDefault="00C54923" w:rsidP="00C54923"/>
    <w:p w14:paraId="1CE31746" w14:textId="77777777" w:rsidR="00C54923" w:rsidRDefault="00C54923" w:rsidP="00C54923">
      <w:pPr>
        <w:ind w:firstLine="360"/>
      </w:pPr>
      <w:r w:rsidRPr="004E613D">
        <w:t>Our department’s philosophy</w:t>
      </w:r>
      <w:r>
        <w:t xml:space="preserve"> on assessment</w:t>
      </w:r>
      <w:r w:rsidRPr="004E613D">
        <w:t xml:space="preserve"> is relatively simple, focus on the learning objectives and how you want the students demonstrating their mastery over them. </w:t>
      </w:r>
      <w:r>
        <w:t xml:space="preserve">In order to make sure that dual credit course assessments are comparable to the rigor of what is done on campus is try to incorporate assessment reviews into each </w:t>
      </w:r>
      <w:proofErr w:type="gramStart"/>
      <w:r>
        <w:t>PD’s</w:t>
      </w:r>
      <w:proofErr w:type="gramEnd"/>
      <w:r>
        <w:t xml:space="preserve"> with instructors. Sometimes this is a grade normalization activity or discussion using on-campus examples that only lasts 20 minutes, sometimes it’s the sole focus of the PD itself for example creating grading rubrics for a particular project. There have also been a few times where assessments have been created as a collaborative endeavor between on-campus instructors and dual credit instructors. There is also a Box folder that is shared by each instructor that includes various assessment templates and examples that instructors can utilize.    </w:t>
      </w:r>
    </w:p>
    <w:p w14:paraId="4F008A2E" w14:textId="77777777" w:rsidR="00C54923" w:rsidRDefault="00C54923" w:rsidP="00C54923"/>
    <w:p w14:paraId="62C1F7ED" w14:textId="77777777" w:rsidR="00C54923" w:rsidRPr="00313F17" w:rsidRDefault="00C54923" w:rsidP="00C54923">
      <w:pPr>
        <w:pStyle w:val="ListParagraph"/>
        <w:numPr>
          <w:ilvl w:val="0"/>
          <w:numId w:val="2"/>
        </w:numPr>
        <w:rPr>
          <w:b/>
          <w:bCs/>
        </w:rPr>
      </w:pPr>
      <w:r w:rsidRPr="00313F17">
        <w:rPr>
          <w:b/>
          <w:bCs/>
        </w:rPr>
        <w:t xml:space="preserve"> Grading Standards</w:t>
      </w:r>
    </w:p>
    <w:p w14:paraId="46512A8B" w14:textId="77777777" w:rsidR="00C54923" w:rsidRDefault="00C54923" w:rsidP="00C54923">
      <w:pPr>
        <w:rPr>
          <w:i/>
          <w:iCs/>
          <w:color w:val="0070C0"/>
        </w:rPr>
      </w:pPr>
      <w:r>
        <w:rPr>
          <w:b/>
          <w:bCs/>
          <w:i/>
          <w:iCs/>
          <w:color w:val="C00000"/>
        </w:rPr>
        <w:t xml:space="preserve">      </w:t>
      </w:r>
      <w:r w:rsidRPr="00FA60FD">
        <w:rPr>
          <w:b/>
          <w:bCs/>
          <w:i/>
          <w:iCs/>
          <w:color w:val="0070C0"/>
        </w:rPr>
        <w:t>Guiding Questions:</w:t>
      </w:r>
      <w:r w:rsidRPr="00FA60FD">
        <w:rPr>
          <w:i/>
          <w:iCs/>
          <w:color w:val="0070C0"/>
        </w:rPr>
        <w:t xml:space="preserve"> </w:t>
      </w:r>
    </w:p>
    <w:p w14:paraId="32DA0278" w14:textId="77777777" w:rsidR="00C54923" w:rsidRPr="004E613D" w:rsidRDefault="00C54923" w:rsidP="00C54923">
      <w:pPr>
        <w:pStyle w:val="ListParagraph"/>
        <w:numPr>
          <w:ilvl w:val="0"/>
          <w:numId w:val="7"/>
        </w:numPr>
        <w:rPr>
          <w:i/>
          <w:iCs/>
          <w:color w:val="0070C0"/>
        </w:rPr>
      </w:pPr>
      <w:r w:rsidRPr="004E613D">
        <w:rPr>
          <w:i/>
          <w:iCs/>
          <w:color w:val="0070C0"/>
        </w:rPr>
        <w:t>Describe your department’s philosophy on grading standards and how this is communicated to the concurrent enrollment instructors.</w:t>
      </w:r>
    </w:p>
    <w:p w14:paraId="709D859D" w14:textId="77777777" w:rsidR="00C54923" w:rsidRDefault="00C54923" w:rsidP="00C54923"/>
    <w:p w14:paraId="661BD7F0" w14:textId="77777777" w:rsidR="00C54923" w:rsidRDefault="00C54923" w:rsidP="00C54923">
      <w:pPr>
        <w:ind w:firstLine="360"/>
      </w:pPr>
      <w:r w:rsidRPr="00C551BA">
        <w:t xml:space="preserve">Our basic philosophy is that grading across the board will never be perfect, but that won’t stop us from trying. </w:t>
      </w:r>
      <w:r>
        <w:t xml:space="preserve">Grades should reflect what a student has been able to master </w:t>
      </w:r>
      <w:r>
        <w:lastRenderedPageBreak/>
        <w:t xml:space="preserve">with regards to the learning objectives as stated in the syllabi, which means that grade normalization is an important function making sure that all courses are as equitable between on-campus and dual credit. As discussed in the assessment review, grade normalization is reviewed relatively quite often since it’s worked into each PD to some degree. However, about every 3 years we take a more concerted effort and spend a considerable amount of time to make sure that grading is comparable across the board. </w:t>
      </w:r>
    </w:p>
    <w:p w14:paraId="5537EE6C" w14:textId="77777777" w:rsidR="00C54923" w:rsidRDefault="00C54923" w:rsidP="00C54923"/>
    <w:p w14:paraId="5DC29613" w14:textId="77777777" w:rsidR="00C54923" w:rsidRPr="00313F17" w:rsidRDefault="00C54923" w:rsidP="00C54923">
      <w:pPr>
        <w:pStyle w:val="ListParagraph"/>
        <w:numPr>
          <w:ilvl w:val="0"/>
          <w:numId w:val="2"/>
        </w:numPr>
        <w:rPr>
          <w:b/>
          <w:bCs/>
        </w:rPr>
      </w:pPr>
      <w:r w:rsidRPr="00313F17">
        <w:rPr>
          <w:b/>
          <w:bCs/>
        </w:rPr>
        <w:t xml:space="preserve"> Theoretical/Philosophical Orientation </w:t>
      </w:r>
    </w:p>
    <w:p w14:paraId="0D0445E0" w14:textId="77777777" w:rsidR="00C54923" w:rsidRDefault="00C54923" w:rsidP="00C54923">
      <w:pPr>
        <w:ind w:firstLine="360"/>
        <w:rPr>
          <w:i/>
          <w:iCs/>
          <w:color w:val="0070C0"/>
        </w:rPr>
      </w:pPr>
      <w:r w:rsidRPr="00FA60FD">
        <w:rPr>
          <w:b/>
          <w:bCs/>
          <w:i/>
          <w:iCs/>
          <w:color w:val="0070C0"/>
        </w:rPr>
        <w:t>Guiding Questions:</w:t>
      </w:r>
      <w:r w:rsidRPr="00FA60FD">
        <w:rPr>
          <w:i/>
          <w:iCs/>
          <w:color w:val="0070C0"/>
        </w:rPr>
        <w:t xml:space="preserve"> </w:t>
      </w:r>
    </w:p>
    <w:p w14:paraId="77F95639" w14:textId="77777777" w:rsidR="00C54923" w:rsidRPr="004E613D" w:rsidRDefault="00C54923" w:rsidP="00C54923">
      <w:pPr>
        <w:pStyle w:val="ListParagraph"/>
        <w:numPr>
          <w:ilvl w:val="0"/>
          <w:numId w:val="7"/>
        </w:numPr>
        <w:rPr>
          <w:color w:val="0070C0"/>
        </w:rPr>
      </w:pPr>
      <w:r w:rsidRPr="004E613D">
        <w:rPr>
          <w:i/>
          <w:iCs/>
          <w:color w:val="0070C0"/>
        </w:rPr>
        <w:t xml:space="preserve">What is your department’s approach to the discipline? </w:t>
      </w:r>
    </w:p>
    <w:p w14:paraId="336DBD39" w14:textId="77777777" w:rsidR="00C54923" w:rsidRPr="004E613D" w:rsidRDefault="00C54923" w:rsidP="00C54923">
      <w:pPr>
        <w:pStyle w:val="ListParagraph"/>
        <w:numPr>
          <w:ilvl w:val="0"/>
          <w:numId w:val="7"/>
        </w:numPr>
        <w:rPr>
          <w:color w:val="0070C0"/>
        </w:rPr>
      </w:pPr>
      <w:r w:rsidRPr="004E613D">
        <w:rPr>
          <w:i/>
          <w:iCs/>
          <w:color w:val="0070C0"/>
        </w:rPr>
        <w:t xml:space="preserve">Are there certain hallmarks or best practices? </w:t>
      </w:r>
    </w:p>
    <w:p w14:paraId="1400F892" w14:textId="77777777" w:rsidR="00C54923" w:rsidRPr="004E613D" w:rsidRDefault="00C54923" w:rsidP="00C54923">
      <w:pPr>
        <w:pStyle w:val="ListParagraph"/>
        <w:numPr>
          <w:ilvl w:val="0"/>
          <w:numId w:val="7"/>
        </w:numPr>
        <w:rPr>
          <w:color w:val="0070C0"/>
        </w:rPr>
      </w:pPr>
      <w:r w:rsidRPr="004E613D">
        <w:rPr>
          <w:i/>
          <w:iCs/>
          <w:color w:val="0070C0"/>
        </w:rPr>
        <w:t xml:space="preserve">How is this philosophy or approach reflected in the concurrent enrollment program courses? </w:t>
      </w:r>
    </w:p>
    <w:p w14:paraId="044CA9BF" w14:textId="77777777" w:rsidR="00C54923" w:rsidRPr="004E613D" w:rsidRDefault="00C54923" w:rsidP="00C54923">
      <w:pPr>
        <w:pStyle w:val="ListParagraph"/>
        <w:numPr>
          <w:ilvl w:val="0"/>
          <w:numId w:val="7"/>
        </w:numPr>
        <w:rPr>
          <w:color w:val="0070C0"/>
        </w:rPr>
      </w:pPr>
      <w:r w:rsidRPr="004E613D">
        <w:rPr>
          <w:i/>
          <w:iCs/>
          <w:color w:val="0070C0"/>
        </w:rPr>
        <w:t xml:space="preserve">How do concurrent enrollment program courses, instructors, and students fit into your department or program’s goals, outcomes, or structure? For example, to what extent are concurrent enrollment program instructors treated like adjuncts or included in decision-making, meetings, etc.? </w:t>
      </w:r>
    </w:p>
    <w:p w14:paraId="0C18BA6A" w14:textId="77777777" w:rsidR="00C54923" w:rsidRPr="004E613D" w:rsidRDefault="00C54923" w:rsidP="00C54923">
      <w:pPr>
        <w:pStyle w:val="ListParagraph"/>
        <w:numPr>
          <w:ilvl w:val="0"/>
          <w:numId w:val="7"/>
        </w:numPr>
        <w:rPr>
          <w:color w:val="0070C0"/>
        </w:rPr>
      </w:pPr>
      <w:r w:rsidRPr="004E613D">
        <w:rPr>
          <w:i/>
          <w:iCs/>
          <w:color w:val="0070C0"/>
        </w:rPr>
        <w:t xml:space="preserve">To what extent is the concurrent enrollment program considered in departmental discussions of identity, policy or program changes, and future courses or degrees? </w:t>
      </w:r>
    </w:p>
    <w:p w14:paraId="2BB42690" w14:textId="77777777" w:rsidR="00C54923" w:rsidRPr="00C551BA" w:rsidRDefault="00C54923" w:rsidP="00C54923">
      <w:pPr>
        <w:pStyle w:val="ListParagraph"/>
        <w:numPr>
          <w:ilvl w:val="0"/>
          <w:numId w:val="7"/>
        </w:numPr>
        <w:rPr>
          <w:color w:val="0070C0"/>
        </w:rPr>
      </w:pPr>
      <w:r w:rsidRPr="004E613D">
        <w:rPr>
          <w:i/>
          <w:iCs/>
          <w:color w:val="0070C0"/>
        </w:rPr>
        <w:t>Describe how your department builds relationships with concurrent enrollment program instructors and students.</w:t>
      </w:r>
    </w:p>
    <w:p w14:paraId="393822AD" w14:textId="77777777" w:rsidR="00C54923" w:rsidRDefault="00C54923" w:rsidP="00C54923">
      <w:pPr>
        <w:rPr>
          <w:color w:val="0070C0"/>
        </w:rPr>
      </w:pPr>
    </w:p>
    <w:p w14:paraId="399721D0" w14:textId="77777777" w:rsidR="00C54923" w:rsidRPr="00C551BA" w:rsidRDefault="00C54923" w:rsidP="00C54923">
      <w:pPr>
        <w:ind w:left="360" w:firstLine="360"/>
      </w:pPr>
      <w:r>
        <w:t xml:space="preserve">Dwarven mining is a unique discipline within Middle Earth that takes a considerable amount of time and effort to become truly well versed in the field. That is why we put so much effort and energy in making sure that our courses are equitable across the board when it comes to course syllabi, student learning objectives, assessments, and grading. As a department are always working collaboratively to make sure that all instructors utilize best practices but yet have the independence to try new ideas in an effort to improve. We believe that our dual credit instructors are just as much of a part of the department as any other faculty, full time or adjunct. We offer the opportunity for any and all dual credit instructors to attend department meetings and to participate in important decision making. The way we see it, our siblings of the mines are the best place to help build a solid base for future mining students here on campus. This is one of the biggest reasons why we have tried to build a solid relationship with our dual credit instructors and why we regularly try to incorporate them into the </w:t>
      </w:r>
      <w:proofErr w:type="gramStart"/>
      <w:r>
        <w:t>decision making</w:t>
      </w:r>
      <w:proofErr w:type="gramEnd"/>
      <w:r>
        <w:t xml:space="preserve"> process of our department, because it all of our department. </w:t>
      </w:r>
    </w:p>
    <w:p w14:paraId="75F8EFAB" w14:textId="77777777" w:rsidR="00C54923" w:rsidRDefault="00C54923" w:rsidP="00C54923">
      <w:pPr>
        <w:pStyle w:val="ListParagraph"/>
        <w:ind w:left="1080"/>
      </w:pPr>
    </w:p>
    <w:p w14:paraId="6A0F5B6B" w14:textId="77777777" w:rsidR="00C54923" w:rsidRDefault="00C54923" w:rsidP="00C54923">
      <w:pPr>
        <w:pStyle w:val="ListParagraph"/>
        <w:numPr>
          <w:ilvl w:val="0"/>
          <w:numId w:val="1"/>
        </w:numPr>
      </w:pPr>
      <w:r>
        <w:t xml:space="preserve"> Signatures</w:t>
      </w:r>
    </w:p>
    <w:p w14:paraId="0CBB4168" w14:textId="77777777" w:rsidR="00C54923" w:rsidRDefault="00C54923"/>
    <w:sectPr w:rsidR="00C54923" w:rsidSect="00C5492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3D31" w14:textId="77777777" w:rsidR="009A668B" w:rsidRDefault="009A668B" w:rsidP="00C54923">
      <w:r>
        <w:separator/>
      </w:r>
    </w:p>
  </w:endnote>
  <w:endnote w:type="continuationSeparator" w:id="0">
    <w:p w14:paraId="3CEE8136" w14:textId="77777777" w:rsidR="009A668B" w:rsidRDefault="009A668B" w:rsidP="00C5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21F2" w14:textId="60834069" w:rsidR="00C54923" w:rsidRDefault="00C54923">
    <w:pPr>
      <w:pStyle w:val="Footer"/>
    </w:pPr>
    <w:r w:rsidRPr="00C54923">
      <w:rPr>
        <w:noProof/>
      </w:rPr>
      <w:drawing>
        <wp:anchor distT="0" distB="0" distL="114300" distR="114300" simplePos="0" relativeHeight="251665408" behindDoc="0" locked="0" layoutInCell="1" allowOverlap="1" wp14:anchorId="264ADCBB" wp14:editId="48F06F71">
          <wp:simplePos x="0" y="0"/>
          <wp:positionH relativeFrom="column">
            <wp:posOffset>699577</wp:posOffset>
          </wp:positionH>
          <wp:positionV relativeFrom="paragraph">
            <wp:posOffset>-635</wp:posOffset>
          </wp:positionV>
          <wp:extent cx="5943600" cy="4552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45529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0D5" w14:textId="00FDC52A" w:rsidR="00C54923" w:rsidRDefault="00C54923">
    <w:pPr>
      <w:pStyle w:val="Footer"/>
    </w:pPr>
    <w:r w:rsidRPr="00C54923">
      <w:rPr>
        <w:noProof/>
      </w:rPr>
      <w:drawing>
        <wp:anchor distT="0" distB="0" distL="114300" distR="114300" simplePos="0" relativeHeight="251663360" behindDoc="0" locked="0" layoutInCell="1" allowOverlap="1" wp14:anchorId="2281979A" wp14:editId="088F89B1">
          <wp:simplePos x="0" y="0"/>
          <wp:positionH relativeFrom="column">
            <wp:posOffset>667910</wp:posOffset>
          </wp:positionH>
          <wp:positionV relativeFrom="paragraph">
            <wp:posOffset>-635</wp:posOffset>
          </wp:positionV>
          <wp:extent cx="5943600" cy="4552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4552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6DE6" w14:textId="77777777" w:rsidR="009A668B" w:rsidRDefault="009A668B" w:rsidP="00C54923">
      <w:r>
        <w:separator/>
      </w:r>
    </w:p>
  </w:footnote>
  <w:footnote w:type="continuationSeparator" w:id="0">
    <w:p w14:paraId="76E23164" w14:textId="77777777" w:rsidR="009A668B" w:rsidRDefault="009A668B" w:rsidP="00C5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C332" w14:textId="531AFD86" w:rsidR="00C54923" w:rsidRDefault="00C54923">
    <w:pPr>
      <w:pStyle w:val="Header"/>
    </w:pPr>
    <w:r w:rsidRPr="00C54923">
      <w:rPr>
        <w:noProof/>
      </w:rPr>
      <w:drawing>
        <wp:anchor distT="0" distB="0" distL="114300" distR="114300" simplePos="0" relativeHeight="251661312" behindDoc="0" locked="0" layoutInCell="1" allowOverlap="1" wp14:anchorId="4D7CF0B2" wp14:editId="1188C8BA">
          <wp:simplePos x="0" y="0"/>
          <wp:positionH relativeFrom="column">
            <wp:posOffset>-452755</wp:posOffset>
          </wp:positionH>
          <wp:positionV relativeFrom="paragraph">
            <wp:posOffset>71837</wp:posOffset>
          </wp:positionV>
          <wp:extent cx="3019846" cy="714475"/>
          <wp:effectExtent l="0" t="0" r="0" b="9525"/>
          <wp:wrapNone/>
          <wp:docPr id="2" name="Picture 2" descr="PFW Letterhe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FW Letterhead&#10;"/>
                  <pic:cNvPicPr/>
                </pic:nvPicPr>
                <pic:blipFill>
                  <a:blip r:embed="rId1"/>
                  <a:stretch>
                    <a:fillRect/>
                  </a:stretch>
                </pic:blipFill>
                <pic:spPr>
                  <a:xfrm>
                    <a:off x="0" y="0"/>
                    <a:ext cx="3019846" cy="71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3C2A"/>
    <w:multiLevelType w:val="hybridMultilevel"/>
    <w:tmpl w:val="C5B4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C27B0"/>
    <w:multiLevelType w:val="hybridMultilevel"/>
    <w:tmpl w:val="7090D33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D1488"/>
    <w:multiLevelType w:val="hybridMultilevel"/>
    <w:tmpl w:val="AC32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90E03"/>
    <w:multiLevelType w:val="hybridMultilevel"/>
    <w:tmpl w:val="7CE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E56E5"/>
    <w:multiLevelType w:val="hybridMultilevel"/>
    <w:tmpl w:val="B57275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52032A"/>
    <w:multiLevelType w:val="hybridMultilevel"/>
    <w:tmpl w:val="8EE8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D607A"/>
    <w:multiLevelType w:val="hybridMultilevel"/>
    <w:tmpl w:val="E17A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23"/>
    <w:rsid w:val="005E328F"/>
    <w:rsid w:val="006440CC"/>
    <w:rsid w:val="009A668B"/>
    <w:rsid w:val="00C5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9DE78"/>
  <w15:chartTrackingRefBased/>
  <w15:docId w15:val="{E531C208-A9C1-4E3B-890E-ABFD190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923"/>
    <w:pPr>
      <w:tabs>
        <w:tab w:val="center" w:pos="4680"/>
        <w:tab w:val="right" w:pos="9360"/>
      </w:tabs>
    </w:pPr>
  </w:style>
  <w:style w:type="character" w:customStyle="1" w:styleId="HeaderChar">
    <w:name w:val="Header Char"/>
    <w:basedOn w:val="DefaultParagraphFont"/>
    <w:link w:val="Header"/>
    <w:uiPriority w:val="99"/>
    <w:rsid w:val="00C54923"/>
  </w:style>
  <w:style w:type="paragraph" w:styleId="Footer">
    <w:name w:val="footer"/>
    <w:basedOn w:val="Normal"/>
    <w:link w:val="FooterChar"/>
    <w:uiPriority w:val="99"/>
    <w:unhideWhenUsed/>
    <w:rsid w:val="00C54923"/>
    <w:pPr>
      <w:tabs>
        <w:tab w:val="center" w:pos="4680"/>
        <w:tab w:val="right" w:pos="9360"/>
      </w:tabs>
    </w:pPr>
  </w:style>
  <w:style w:type="character" w:customStyle="1" w:styleId="FooterChar">
    <w:name w:val="Footer Char"/>
    <w:basedOn w:val="DefaultParagraphFont"/>
    <w:link w:val="Footer"/>
    <w:uiPriority w:val="99"/>
    <w:rsid w:val="00C54923"/>
  </w:style>
  <w:style w:type="paragraph" w:styleId="ListParagraph">
    <w:name w:val="List Paragraph"/>
    <w:basedOn w:val="Normal"/>
    <w:uiPriority w:val="34"/>
    <w:qFormat/>
    <w:rsid w:val="00C54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Baker</dc:creator>
  <cp:keywords/>
  <dc:description/>
  <cp:lastModifiedBy>Jonathan Baker</cp:lastModifiedBy>
  <cp:revision>2</cp:revision>
  <dcterms:created xsi:type="dcterms:W3CDTF">2025-10-15T16:09:00Z</dcterms:created>
  <dcterms:modified xsi:type="dcterms:W3CDTF">2025-10-15T16:09:00Z</dcterms:modified>
</cp:coreProperties>
</file>